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5F2B42" w:rsidRPr="00977A32" w:rsidTr="00977A32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B42" w:rsidRDefault="005F2B4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Two </w:t>
            </w:r>
            <w:proofErr w:type="spellStart"/>
            <w:r>
              <w:rPr>
                <w:b/>
                <w:bCs/>
              </w:rPr>
              <w:t>Spectrophotometric</w:t>
            </w:r>
            <w:proofErr w:type="spellEnd"/>
            <w:r>
              <w:rPr>
                <w:b/>
                <w:bCs/>
              </w:rPr>
              <w:t xml:space="preserve"> Methods for the Simultaneous Analysis of </w:t>
            </w:r>
            <w:proofErr w:type="spellStart"/>
            <w:r>
              <w:rPr>
                <w:b/>
                <w:bCs/>
              </w:rPr>
              <w:t>Nadifloxacin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Mometasone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Furoate</w:t>
            </w:r>
            <w:proofErr w:type="spellEnd"/>
            <w:r>
              <w:rPr>
                <w:b/>
                <w:bCs/>
              </w:rPr>
              <w:t xml:space="preserve"> in Cream</w:t>
            </w:r>
            <w:r>
              <w:t xml:space="preserve"> </w:t>
            </w:r>
          </w:p>
        </w:tc>
      </w:tr>
      <w:tr w:rsidR="005F2B42" w:rsidRPr="00977A32" w:rsidTr="00977A32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B42" w:rsidRDefault="005F2B42">
            <w:pPr>
              <w:rPr>
                <w:sz w:val="24"/>
                <w:szCs w:val="24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5F2B42" w:rsidRPr="00977A32" w:rsidTr="00977A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53"/>
              <w:gridCol w:w="8073"/>
            </w:tblGrid>
            <w:tr w:rsidR="005F2B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5F2B42" w:rsidRDefault="00004058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8000"/>
                    </w:rPr>
                    <w:t>Aarti</w:t>
                  </w:r>
                  <w:proofErr w:type="spellEnd"/>
                  <w:r w:rsidR="00934E18">
                    <w:rPr>
                      <w:color w:val="008000"/>
                    </w:rPr>
                    <w:t xml:space="preserve"> </w:t>
                  </w:r>
                  <w:r>
                    <w:rPr>
                      <w:color w:val="008000"/>
                    </w:rPr>
                    <w:t xml:space="preserve"> </w:t>
                  </w:r>
                  <w:proofErr w:type="spellStart"/>
                  <w:r>
                    <w:rPr>
                      <w:color w:val="008000"/>
                    </w:rPr>
                    <w:t>Zanwar</w:t>
                  </w:r>
                  <w:proofErr w:type="spellEnd"/>
                  <w:r w:rsidR="00934E18">
                    <w:t xml:space="preserve">, </w:t>
                  </w:r>
                  <w:proofErr w:type="spellStart"/>
                  <w:r w:rsidR="00934E18">
                    <w:t>Dhanya</w:t>
                  </w:r>
                  <w:proofErr w:type="spellEnd"/>
                  <w:r w:rsidR="00934E18">
                    <w:t xml:space="preserve"> B. </w:t>
                  </w:r>
                  <w:proofErr w:type="spellStart"/>
                  <w:r w:rsidR="00934E18">
                    <w:t>Sen</w:t>
                  </w:r>
                  <w:proofErr w:type="spellEnd"/>
                  <w:r w:rsidR="00934E18">
                    <w:t xml:space="preserve">, </w:t>
                  </w:r>
                  <w:proofErr w:type="spellStart"/>
                  <w:r w:rsidR="00934E18">
                    <w:t>Arezz</w:t>
                  </w:r>
                  <w:proofErr w:type="spellEnd"/>
                  <w:r w:rsidR="00934E18">
                    <w:t xml:space="preserve"> </w:t>
                  </w:r>
                  <w:proofErr w:type="spellStart"/>
                  <w:r>
                    <w:t>Atique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Vora</w:t>
                  </w:r>
                  <w:proofErr w:type="spellEnd"/>
                  <w:r>
                    <w:t xml:space="preserve">, Rajesh A. </w:t>
                  </w:r>
                  <w:proofErr w:type="spellStart"/>
                  <w:r>
                    <w:t>Maheshwari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Ashim</w:t>
                  </w:r>
                  <w:proofErr w:type="spellEnd"/>
                  <w:r>
                    <w:t xml:space="preserve"> K. </w:t>
                  </w:r>
                  <w:proofErr w:type="spellStart"/>
                  <w:r>
                    <w:t>Sen</w:t>
                  </w:r>
                  <w:proofErr w:type="spellEnd"/>
                  <w:r>
                    <w:t xml:space="preserve">, A.K. Seth </w:t>
                  </w:r>
                </w:p>
              </w:tc>
            </w:tr>
            <w:tr w:rsidR="005F2B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5F2B42" w:rsidRDefault="005F2B4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The present work describes absorbance correction and zero crossing derivative method </w:t>
                  </w:r>
                  <w:proofErr w:type="spellStart"/>
                  <w:r>
                    <w:t>spectrophotometric</w:t>
                  </w:r>
                  <w:proofErr w:type="spellEnd"/>
                  <w:r>
                    <w:t xml:space="preserve"> method for the synchronized determination of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 in cream. In absorbance correction method,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 showed absorbance maxima at 295 nm and 247 nm in methanol. The linearity was obtained in the concentration range of 2-30 µg/ml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, respectively. Zero crossing derivative </w:t>
                  </w:r>
                  <w:proofErr w:type="spellStart"/>
                  <w:r>
                    <w:t>spectrophotometry</w:t>
                  </w:r>
                  <w:proofErr w:type="spellEnd"/>
                  <w:r>
                    <w:t xml:space="preserve"> involves amplitudes measurement of the first derivative spectra of the standard and sample solution at 302.45 nm for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265.50 nm for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. The calibration graph follows beer’s law in the range of 10-60 µg/ml of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1-6 µg/ml for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. The method was successfully applied to pharmaceutical dosage form because no interference from the cream </w:t>
                  </w:r>
                  <w:proofErr w:type="spellStart"/>
                  <w:r>
                    <w:t>excipients</w:t>
                  </w:r>
                  <w:proofErr w:type="spellEnd"/>
                  <w:r>
                    <w:t xml:space="preserve"> was found. The suitability of this method for the quantitative determination of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 was proved by validation. </w:t>
                  </w:r>
                </w:p>
              </w:tc>
            </w:tr>
            <w:tr w:rsidR="005F2B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r>
                    <w:t xml:space="preserve">Absorption Correction Method, Zero Crossing Derivative Method, </w:t>
                  </w:r>
                  <w:proofErr w:type="spellStart"/>
                  <w:r>
                    <w:t>Nadifloxacin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Mometasone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Furoate</w:t>
                  </w:r>
                  <w:proofErr w:type="spellEnd"/>
                  <w:r>
                    <w:t xml:space="preserve">, Cream </w:t>
                  </w:r>
                </w:p>
              </w:tc>
            </w:tr>
            <w:tr w:rsidR="005F2B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5F2B42" w:rsidRDefault="005F2B42">
                  <w:pPr>
                    <w:rPr>
                      <w:sz w:val="24"/>
                      <w:szCs w:val="24"/>
                    </w:rPr>
                  </w:pPr>
                  <w:hyperlink r:id="rId4" w:tgtFrame="/" w:history="1">
                    <w:r>
                      <w:rPr>
                        <w:rStyle w:val="Hyperlink"/>
                      </w:rPr>
                      <w:t>https://doi.org/10.31838/ijpr/2020.12.01.260</w:t>
                    </w:r>
                  </w:hyperlink>
                </w:p>
              </w:tc>
            </w:tr>
          </w:tbl>
          <w:p w:rsidR="005F2B42" w:rsidRDefault="005F2B42">
            <w:pPr>
              <w:rPr>
                <w:sz w:val="24"/>
                <w:szCs w:val="24"/>
              </w:rPr>
            </w:pPr>
          </w:p>
        </w:tc>
      </w:tr>
    </w:tbl>
    <w:p w:rsidR="00977A32" w:rsidRDefault="00977A32">
      <w:r>
        <w:t xml:space="preserve">FULL TEXT:   </w:t>
      </w:r>
      <w:hyperlink r:id="rId5" w:history="1">
        <w:r w:rsidR="00280099" w:rsidRPr="007D5707">
          <w:rPr>
            <w:rStyle w:val="Hyperlink"/>
          </w:rPr>
          <w:t>http://www.ijpronline.com/ViewArticleDetail.aspx?ID=17155</w:t>
        </w:r>
      </w:hyperlink>
    </w:p>
    <w:p w:rsidR="00280099" w:rsidRDefault="00280099"/>
    <w:sectPr w:rsidR="00280099" w:rsidSect="00A01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A32"/>
    <w:rsid w:val="00004058"/>
    <w:rsid w:val="00280099"/>
    <w:rsid w:val="005F2B42"/>
    <w:rsid w:val="00934E18"/>
    <w:rsid w:val="00977A32"/>
    <w:rsid w:val="00A0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jpronline.com/ViewArticleDetail.aspx?ID=17155" TargetMode="External"/><Relationship Id="rId4" Type="http://schemas.openxmlformats.org/officeDocument/2006/relationships/hyperlink" Target="https://doi.org/10.31838/ijpr/2020.12.01.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2021-09-20T05:37:00Z</dcterms:created>
  <dcterms:modified xsi:type="dcterms:W3CDTF">2021-09-20T06:04:00Z</dcterms:modified>
</cp:coreProperties>
</file>