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9026"/>
      </w:tblGrid>
      <w:tr w:rsidR="00411224" w:rsidRPr="00411224" w:rsidTr="00411224">
        <w:trPr>
          <w:tblCellSpacing w:w="0" w:type="dxa"/>
        </w:trPr>
        <w:tc>
          <w:tcPr>
            <w:tcW w:w="0" w:type="auto"/>
            <w:vAlign w:val="center"/>
            <w:hideMark/>
          </w:tcPr>
          <w:p w:rsidR="00411224" w:rsidRPr="00411224" w:rsidRDefault="00411224" w:rsidP="00411224">
            <w:pPr>
              <w:spacing w:after="0" w:line="240" w:lineRule="auto"/>
              <w:rPr>
                <w:rFonts w:ascii="Times New Roman" w:eastAsia="Times New Roman" w:hAnsi="Times New Roman" w:cs="Times New Roman"/>
                <w:sz w:val="24"/>
                <w:szCs w:val="24"/>
              </w:rPr>
            </w:pPr>
            <w:r w:rsidRPr="00411224">
              <w:rPr>
                <w:rFonts w:ascii="Times New Roman" w:eastAsia="Times New Roman" w:hAnsi="Times New Roman" w:cs="Times New Roman"/>
                <w:b/>
                <w:bCs/>
                <w:sz w:val="24"/>
                <w:szCs w:val="24"/>
              </w:rPr>
              <w:t>Application of UV Spectrophotometric Methods in the Simul</w:t>
            </w:r>
            <w:r>
              <w:rPr>
                <w:rFonts w:ascii="Times New Roman" w:eastAsia="Times New Roman" w:hAnsi="Times New Roman" w:cs="Times New Roman"/>
                <w:b/>
                <w:bCs/>
                <w:sz w:val="24"/>
                <w:szCs w:val="24"/>
              </w:rPr>
              <w:t>taneous Analysis of Amlodipine B</w:t>
            </w:r>
            <w:r w:rsidRPr="00411224">
              <w:rPr>
                <w:rFonts w:ascii="Times New Roman" w:eastAsia="Times New Roman" w:hAnsi="Times New Roman" w:cs="Times New Roman"/>
                <w:b/>
                <w:bCs/>
                <w:sz w:val="24"/>
                <w:szCs w:val="24"/>
              </w:rPr>
              <w:t>esylate and Celecoxib</w:t>
            </w:r>
            <w:r w:rsidRPr="00411224">
              <w:rPr>
                <w:rFonts w:ascii="Times New Roman" w:eastAsia="Times New Roman" w:hAnsi="Times New Roman" w:cs="Times New Roman"/>
                <w:sz w:val="24"/>
                <w:szCs w:val="24"/>
              </w:rPr>
              <w:t xml:space="preserve"> </w:t>
            </w:r>
          </w:p>
        </w:tc>
      </w:tr>
      <w:tr w:rsidR="00411224" w:rsidRPr="00411224" w:rsidTr="00411224">
        <w:trPr>
          <w:tblCellSpacing w:w="0" w:type="dxa"/>
        </w:trPr>
        <w:tc>
          <w:tcPr>
            <w:tcW w:w="0" w:type="auto"/>
            <w:vAlign w:val="center"/>
            <w:hideMark/>
          </w:tcPr>
          <w:p w:rsidR="00411224" w:rsidRPr="00411224" w:rsidRDefault="00411224" w:rsidP="00411224">
            <w:pPr>
              <w:spacing w:after="0" w:line="240" w:lineRule="auto"/>
              <w:rPr>
                <w:rFonts w:ascii="Times New Roman" w:eastAsia="Times New Roman" w:hAnsi="Times New Roman" w:cs="Times New Roman"/>
                <w:sz w:val="24"/>
                <w:szCs w:val="24"/>
              </w:rPr>
            </w:pPr>
            <w:r w:rsidRPr="00411224">
              <w:rPr>
                <w:rFonts w:ascii="Times New Roman" w:eastAsia="Times New Roman" w:hAnsi="Times New Roman" w:cs="Times New Roman"/>
                <w:sz w:val="24"/>
                <w:szCs w:val="24"/>
              </w:rPr>
              <w:pict>
                <v:rect id="_x0000_i1025" style="width:0;height:1.5pt" o:hralign="center" o:hrstd="t" o:hr="t" fillcolor="#a0a0a0" stroked="f"/>
              </w:pict>
            </w:r>
          </w:p>
        </w:tc>
      </w:tr>
      <w:tr w:rsidR="00411224" w:rsidRPr="00411224" w:rsidTr="00411224">
        <w:trPr>
          <w:tblCellSpacing w:w="0" w:type="dxa"/>
        </w:trPr>
        <w:tc>
          <w:tcPr>
            <w:tcW w:w="0" w:type="auto"/>
            <w:vAlign w:val="center"/>
            <w:hideMark/>
          </w:tcPr>
          <w:tbl>
            <w:tblPr>
              <w:tblW w:w="0" w:type="auto"/>
              <w:tblCellSpacing w:w="15" w:type="dxa"/>
              <w:tblCellMar>
                <w:top w:w="30" w:type="dxa"/>
                <w:left w:w="30" w:type="dxa"/>
                <w:bottom w:w="30" w:type="dxa"/>
                <w:right w:w="30" w:type="dxa"/>
              </w:tblCellMar>
              <w:tblLook w:val="04A0"/>
            </w:tblPr>
            <w:tblGrid>
              <w:gridCol w:w="1065"/>
              <w:gridCol w:w="7961"/>
            </w:tblGrid>
            <w:tr w:rsidR="00411224" w:rsidRPr="00411224">
              <w:trPr>
                <w:tblCellSpacing w:w="15" w:type="dxa"/>
              </w:trPr>
              <w:tc>
                <w:tcPr>
                  <w:tcW w:w="0" w:type="auto"/>
                  <w:hideMark/>
                </w:tcPr>
                <w:p w:rsidR="00411224" w:rsidRPr="00411224" w:rsidRDefault="00411224" w:rsidP="00411224">
                  <w:pPr>
                    <w:spacing w:after="0" w:line="240" w:lineRule="auto"/>
                    <w:rPr>
                      <w:rFonts w:ascii="Times New Roman" w:eastAsia="Times New Roman" w:hAnsi="Times New Roman" w:cs="Times New Roman"/>
                      <w:sz w:val="24"/>
                      <w:szCs w:val="24"/>
                    </w:rPr>
                  </w:pPr>
                  <w:r w:rsidRPr="00411224">
                    <w:rPr>
                      <w:rFonts w:ascii="Times New Roman" w:eastAsia="Times New Roman" w:hAnsi="Times New Roman" w:cs="Times New Roman"/>
                      <w:sz w:val="24"/>
                      <w:szCs w:val="24"/>
                    </w:rPr>
                    <w:t xml:space="preserve">Author: </w:t>
                  </w:r>
                </w:p>
              </w:tc>
              <w:tc>
                <w:tcPr>
                  <w:tcW w:w="0" w:type="auto"/>
                  <w:hideMark/>
                </w:tcPr>
                <w:p w:rsidR="00411224" w:rsidRPr="00411224" w:rsidRDefault="00411224" w:rsidP="00411224">
                  <w:pPr>
                    <w:spacing w:after="0" w:line="240" w:lineRule="auto"/>
                    <w:rPr>
                      <w:rFonts w:ascii="Times New Roman" w:eastAsia="Times New Roman" w:hAnsi="Times New Roman" w:cs="Times New Roman"/>
                      <w:sz w:val="24"/>
                      <w:szCs w:val="24"/>
                    </w:rPr>
                  </w:pPr>
                  <w:r w:rsidRPr="00411224">
                    <w:rPr>
                      <w:rFonts w:ascii="Times New Roman" w:eastAsia="Times New Roman" w:hAnsi="Times New Roman" w:cs="Times New Roman"/>
                      <w:sz w:val="24"/>
                      <w:szCs w:val="24"/>
                    </w:rPr>
                    <w:t xml:space="preserve">Aarti S.Zanwar, Dhanya B.Sen, Margi K.Shah, Binal Kuber, Krushita R.Patel, Prachi Patel, Ashim K.Sen, A.K.Seth </w:t>
                  </w:r>
                </w:p>
              </w:tc>
            </w:tr>
            <w:tr w:rsidR="00411224" w:rsidRPr="00411224">
              <w:trPr>
                <w:tblCellSpacing w:w="15" w:type="dxa"/>
              </w:trPr>
              <w:tc>
                <w:tcPr>
                  <w:tcW w:w="0" w:type="auto"/>
                  <w:hideMark/>
                </w:tcPr>
                <w:p w:rsidR="00411224" w:rsidRPr="00411224" w:rsidRDefault="00411224" w:rsidP="00411224">
                  <w:pPr>
                    <w:spacing w:after="0" w:line="240" w:lineRule="auto"/>
                    <w:rPr>
                      <w:rFonts w:ascii="Times New Roman" w:eastAsia="Times New Roman" w:hAnsi="Times New Roman" w:cs="Times New Roman"/>
                      <w:sz w:val="24"/>
                      <w:szCs w:val="24"/>
                    </w:rPr>
                  </w:pPr>
                  <w:r w:rsidRPr="00411224">
                    <w:rPr>
                      <w:rFonts w:ascii="Times New Roman" w:eastAsia="Times New Roman" w:hAnsi="Times New Roman" w:cs="Times New Roman"/>
                      <w:sz w:val="24"/>
                      <w:szCs w:val="24"/>
                    </w:rPr>
                    <w:t xml:space="preserve">Abstract: </w:t>
                  </w:r>
                </w:p>
              </w:tc>
              <w:tc>
                <w:tcPr>
                  <w:tcW w:w="0" w:type="auto"/>
                  <w:hideMark/>
                </w:tcPr>
                <w:p w:rsidR="00411224" w:rsidRPr="00411224" w:rsidRDefault="00411224" w:rsidP="00411224">
                  <w:pPr>
                    <w:spacing w:after="0" w:line="240" w:lineRule="auto"/>
                    <w:jc w:val="both"/>
                    <w:rPr>
                      <w:rFonts w:ascii="Times New Roman" w:eastAsia="Times New Roman" w:hAnsi="Times New Roman" w:cs="Times New Roman"/>
                      <w:sz w:val="24"/>
                      <w:szCs w:val="24"/>
                    </w:rPr>
                  </w:pPr>
                  <w:r w:rsidRPr="00411224">
                    <w:rPr>
                      <w:rFonts w:ascii="Times New Roman" w:eastAsia="Times New Roman" w:hAnsi="Times New Roman" w:cs="Times New Roman"/>
                      <w:sz w:val="24"/>
                      <w:szCs w:val="24"/>
                    </w:rPr>
                    <w:t xml:space="preserve">Three UV spectrometric method was developed and validated for the simultaneous analysis of amlodipine besylate and celecoxib.In absorbance correction method (I), wavelength 359 and 252 nm wavelength was selected to find the concentration of both the drugs. In zero crossing absorbance correction method (II), 252 and 291 nm was used to measure the amplitude for the quantification of the analyte. In ratio derivative method (III), 231 and 247 was used for the estimation of amlodipine and 292 nm for celecoxib.The concentration of drug was in linear relation range of 2-50 for and 5-40 µg/ml for amlodipine and celecoxib for method I, 1- 40 µg/ml for both the drugs in method II, 1-20 µg/ml and 4-80 µg/ml for amlodipine and celecoxib, respectively in method III. The accuracy and precision study were within the range as per ICH guideline. An effort has been made for the simultaneous quantification of the cited drugs in synthetic mixture as per the as per the ratio of drug available in tablet dosage form. </w:t>
                  </w:r>
                </w:p>
              </w:tc>
            </w:tr>
            <w:tr w:rsidR="00411224" w:rsidRPr="00411224">
              <w:trPr>
                <w:tblCellSpacing w:w="15" w:type="dxa"/>
              </w:trPr>
              <w:tc>
                <w:tcPr>
                  <w:tcW w:w="0" w:type="auto"/>
                  <w:hideMark/>
                </w:tcPr>
                <w:p w:rsidR="00411224" w:rsidRPr="00411224" w:rsidRDefault="00411224" w:rsidP="00411224">
                  <w:pPr>
                    <w:spacing w:after="0" w:line="240" w:lineRule="auto"/>
                    <w:rPr>
                      <w:rFonts w:ascii="Times New Roman" w:eastAsia="Times New Roman" w:hAnsi="Times New Roman" w:cs="Times New Roman"/>
                      <w:sz w:val="24"/>
                      <w:szCs w:val="24"/>
                    </w:rPr>
                  </w:pPr>
                  <w:r w:rsidRPr="00411224">
                    <w:rPr>
                      <w:rFonts w:ascii="Times New Roman" w:eastAsia="Times New Roman" w:hAnsi="Times New Roman" w:cs="Times New Roman"/>
                      <w:sz w:val="24"/>
                      <w:szCs w:val="24"/>
                    </w:rPr>
                    <w:t xml:space="preserve">Keyword: </w:t>
                  </w:r>
                </w:p>
              </w:tc>
              <w:tc>
                <w:tcPr>
                  <w:tcW w:w="0" w:type="auto"/>
                  <w:hideMark/>
                </w:tcPr>
                <w:p w:rsidR="00411224" w:rsidRPr="00411224" w:rsidRDefault="00411224" w:rsidP="00411224">
                  <w:pPr>
                    <w:spacing w:after="0" w:line="240" w:lineRule="auto"/>
                    <w:rPr>
                      <w:rFonts w:ascii="Times New Roman" w:eastAsia="Times New Roman" w:hAnsi="Times New Roman" w:cs="Times New Roman"/>
                      <w:sz w:val="24"/>
                      <w:szCs w:val="24"/>
                    </w:rPr>
                  </w:pPr>
                  <w:r w:rsidRPr="00411224">
                    <w:rPr>
                      <w:rFonts w:ascii="Times New Roman" w:eastAsia="Times New Roman" w:hAnsi="Times New Roman" w:cs="Times New Roman"/>
                      <w:sz w:val="24"/>
                      <w:szCs w:val="24"/>
                    </w:rPr>
                    <w:t xml:space="preserve">Absorption Correction Method, Zero Crossing Derivative Method, Ratio derivative method, Amlodipine besylate, Celecoxib </w:t>
                  </w:r>
                </w:p>
              </w:tc>
            </w:tr>
            <w:tr w:rsidR="00411224" w:rsidRPr="00411224">
              <w:trPr>
                <w:tblCellSpacing w:w="15" w:type="dxa"/>
              </w:trPr>
              <w:tc>
                <w:tcPr>
                  <w:tcW w:w="0" w:type="auto"/>
                  <w:hideMark/>
                </w:tcPr>
                <w:p w:rsidR="00411224" w:rsidRPr="00411224" w:rsidRDefault="00411224" w:rsidP="00411224">
                  <w:pPr>
                    <w:spacing w:after="0" w:line="240" w:lineRule="auto"/>
                    <w:rPr>
                      <w:rFonts w:ascii="Times New Roman" w:eastAsia="Times New Roman" w:hAnsi="Times New Roman" w:cs="Times New Roman"/>
                      <w:sz w:val="24"/>
                      <w:szCs w:val="24"/>
                    </w:rPr>
                  </w:pPr>
                  <w:r w:rsidRPr="00411224">
                    <w:rPr>
                      <w:rFonts w:ascii="Times New Roman" w:eastAsia="Times New Roman" w:hAnsi="Times New Roman" w:cs="Times New Roman"/>
                      <w:sz w:val="24"/>
                      <w:szCs w:val="24"/>
                    </w:rPr>
                    <w:t xml:space="preserve">DOI: </w:t>
                  </w:r>
                </w:p>
              </w:tc>
              <w:tc>
                <w:tcPr>
                  <w:tcW w:w="0" w:type="auto"/>
                  <w:hideMark/>
                </w:tcPr>
                <w:p w:rsidR="00411224" w:rsidRPr="00411224" w:rsidRDefault="00411224" w:rsidP="00411224">
                  <w:pPr>
                    <w:spacing w:after="0" w:line="240" w:lineRule="auto"/>
                    <w:rPr>
                      <w:rFonts w:ascii="Times New Roman" w:eastAsia="Times New Roman" w:hAnsi="Times New Roman" w:cs="Times New Roman"/>
                      <w:sz w:val="24"/>
                      <w:szCs w:val="24"/>
                    </w:rPr>
                  </w:pPr>
                  <w:hyperlink r:id="rId4" w:tgtFrame="/" w:history="1">
                    <w:r w:rsidRPr="00411224">
                      <w:rPr>
                        <w:rFonts w:ascii="Times New Roman" w:eastAsia="Times New Roman" w:hAnsi="Times New Roman" w:cs="Times New Roman"/>
                        <w:color w:val="0000FF"/>
                        <w:sz w:val="24"/>
                        <w:szCs w:val="24"/>
                        <w:u w:val="single"/>
                      </w:rPr>
                      <w:t>https://doi.org/10.31838/ijpr/2020.12.04.493</w:t>
                    </w:r>
                  </w:hyperlink>
                </w:p>
              </w:tc>
            </w:tr>
          </w:tbl>
          <w:p w:rsidR="00411224" w:rsidRPr="00411224" w:rsidRDefault="00411224" w:rsidP="00411224">
            <w:pPr>
              <w:spacing w:after="0" w:line="240" w:lineRule="auto"/>
              <w:rPr>
                <w:rFonts w:ascii="Times New Roman" w:eastAsia="Times New Roman" w:hAnsi="Times New Roman" w:cs="Times New Roman"/>
                <w:sz w:val="24"/>
                <w:szCs w:val="24"/>
              </w:rPr>
            </w:pPr>
          </w:p>
        </w:tc>
      </w:tr>
    </w:tbl>
    <w:p w:rsidR="00000000" w:rsidRDefault="00CF2D3E">
      <w:r>
        <w:t xml:space="preserve">FULL  TEXT:  </w:t>
      </w:r>
      <w:hyperlink r:id="rId5" w:history="1">
        <w:r w:rsidRPr="00412F10">
          <w:rPr>
            <w:rStyle w:val="Hyperlink"/>
          </w:rPr>
          <w:t>http://www.ijpronline.com/ViewArticleDetail.aspx?ID=18450</w:t>
        </w:r>
      </w:hyperlink>
    </w:p>
    <w:p w:rsidR="00CF2D3E" w:rsidRDefault="00CF2D3E"/>
    <w:sectPr w:rsidR="00CF2D3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411224"/>
    <w:rsid w:val="00411224"/>
    <w:rsid w:val="00CF2D3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24"/>
    <w:rPr>
      <w:color w:val="0000FF"/>
      <w:u w:val="single"/>
    </w:rPr>
  </w:style>
</w:styles>
</file>

<file path=word/webSettings.xml><?xml version="1.0" encoding="utf-8"?>
<w:webSettings xmlns:r="http://schemas.openxmlformats.org/officeDocument/2006/relationships" xmlns:w="http://schemas.openxmlformats.org/wordprocessingml/2006/main">
  <w:divs>
    <w:div w:id="23856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jpronline.com/ViewArticleDetail.aspx?ID=18450" TargetMode="External"/><Relationship Id="rId4" Type="http://schemas.openxmlformats.org/officeDocument/2006/relationships/hyperlink" Target="https://doi.org/10.31838/ijpr/2020.12.04.4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2021-09-20T09:18:00Z</dcterms:created>
  <dcterms:modified xsi:type="dcterms:W3CDTF">2021-09-20T09:23:00Z</dcterms:modified>
</cp:coreProperties>
</file>