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6B453F" w:rsidRPr="006B453F" w:rsidTr="006B453F">
        <w:trPr>
          <w:tblCellSpacing w:w="0" w:type="dxa"/>
        </w:trPr>
        <w:tc>
          <w:tcPr>
            <w:tcW w:w="0" w:type="auto"/>
            <w:vAlign w:val="center"/>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b/>
                <w:bCs/>
                <w:sz w:val="24"/>
                <w:szCs w:val="24"/>
              </w:rPr>
              <w:t xml:space="preserve">Simultaneous Assessment of </w:t>
            </w:r>
            <w:proofErr w:type="spellStart"/>
            <w:r w:rsidRPr="006B453F">
              <w:rPr>
                <w:rFonts w:ascii="Times New Roman" w:eastAsia="Times New Roman" w:hAnsi="Times New Roman" w:cs="Times New Roman"/>
                <w:b/>
                <w:bCs/>
                <w:sz w:val="24"/>
                <w:szCs w:val="24"/>
              </w:rPr>
              <w:t>Aliskiren</w:t>
            </w:r>
            <w:proofErr w:type="spellEnd"/>
            <w:r w:rsidRPr="006B453F">
              <w:rPr>
                <w:rFonts w:ascii="Times New Roman" w:eastAsia="Times New Roman" w:hAnsi="Times New Roman" w:cs="Times New Roman"/>
                <w:b/>
                <w:bCs/>
                <w:sz w:val="24"/>
                <w:szCs w:val="24"/>
              </w:rPr>
              <w:t xml:space="preserve"> </w:t>
            </w:r>
            <w:proofErr w:type="spellStart"/>
            <w:r w:rsidRPr="006B453F">
              <w:rPr>
                <w:rFonts w:ascii="Times New Roman" w:eastAsia="Times New Roman" w:hAnsi="Times New Roman" w:cs="Times New Roman"/>
                <w:b/>
                <w:bCs/>
                <w:sz w:val="24"/>
                <w:szCs w:val="24"/>
              </w:rPr>
              <w:t>Hemifumarate</w:t>
            </w:r>
            <w:proofErr w:type="spellEnd"/>
            <w:r w:rsidRPr="006B453F">
              <w:rPr>
                <w:rFonts w:ascii="Times New Roman" w:eastAsia="Times New Roman" w:hAnsi="Times New Roman" w:cs="Times New Roman"/>
                <w:b/>
                <w:bCs/>
                <w:sz w:val="24"/>
                <w:szCs w:val="24"/>
              </w:rPr>
              <w:t xml:space="preserve"> and </w:t>
            </w:r>
            <w:proofErr w:type="spellStart"/>
            <w:r w:rsidRPr="006B453F">
              <w:rPr>
                <w:rFonts w:ascii="Times New Roman" w:eastAsia="Times New Roman" w:hAnsi="Times New Roman" w:cs="Times New Roman"/>
                <w:b/>
                <w:bCs/>
                <w:sz w:val="24"/>
                <w:szCs w:val="24"/>
              </w:rPr>
              <w:t>Valsartan</w:t>
            </w:r>
            <w:proofErr w:type="spellEnd"/>
            <w:r w:rsidRPr="006B453F">
              <w:rPr>
                <w:rFonts w:ascii="Times New Roman" w:eastAsia="Times New Roman" w:hAnsi="Times New Roman" w:cs="Times New Roman"/>
                <w:b/>
                <w:bCs/>
                <w:sz w:val="24"/>
                <w:szCs w:val="24"/>
              </w:rPr>
              <w:t xml:space="preserve"> from </w:t>
            </w:r>
            <w:proofErr w:type="spellStart"/>
            <w:r w:rsidRPr="006B453F">
              <w:rPr>
                <w:rFonts w:ascii="Times New Roman" w:eastAsia="Times New Roman" w:hAnsi="Times New Roman" w:cs="Times New Roman"/>
                <w:b/>
                <w:bCs/>
                <w:sz w:val="24"/>
                <w:szCs w:val="24"/>
              </w:rPr>
              <w:t>it’s</w:t>
            </w:r>
            <w:proofErr w:type="spellEnd"/>
            <w:r w:rsidRPr="006B453F">
              <w:rPr>
                <w:rFonts w:ascii="Times New Roman" w:eastAsia="Times New Roman" w:hAnsi="Times New Roman" w:cs="Times New Roman"/>
                <w:b/>
                <w:bCs/>
                <w:sz w:val="24"/>
                <w:szCs w:val="24"/>
              </w:rPr>
              <w:t xml:space="preserve"> Pharmaceutical Dosage Form by three simple UV </w:t>
            </w:r>
            <w:proofErr w:type="spellStart"/>
            <w:r w:rsidRPr="006B453F">
              <w:rPr>
                <w:rFonts w:ascii="Times New Roman" w:eastAsia="Times New Roman" w:hAnsi="Times New Roman" w:cs="Times New Roman"/>
                <w:b/>
                <w:bCs/>
                <w:sz w:val="24"/>
                <w:szCs w:val="24"/>
              </w:rPr>
              <w:t>Spectrophotometric</w:t>
            </w:r>
            <w:proofErr w:type="spellEnd"/>
            <w:r w:rsidRPr="006B453F">
              <w:rPr>
                <w:rFonts w:ascii="Times New Roman" w:eastAsia="Times New Roman" w:hAnsi="Times New Roman" w:cs="Times New Roman"/>
                <w:b/>
                <w:bCs/>
                <w:sz w:val="24"/>
                <w:szCs w:val="24"/>
              </w:rPr>
              <w:t xml:space="preserve"> Methods</w:t>
            </w:r>
            <w:r w:rsidRPr="006B453F">
              <w:rPr>
                <w:rFonts w:ascii="Times New Roman" w:eastAsia="Times New Roman" w:hAnsi="Times New Roman" w:cs="Times New Roman"/>
                <w:sz w:val="24"/>
                <w:szCs w:val="24"/>
              </w:rPr>
              <w:t xml:space="preserve"> </w:t>
            </w:r>
          </w:p>
        </w:tc>
      </w:tr>
      <w:tr w:rsidR="006B453F" w:rsidRPr="006B453F" w:rsidTr="006B453F">
        <w:trPr>
          <w:tblCellSpacing w:w="0" w:type="dxa"/>
        </w:trPr>
        <w:tc>
          <w:tcPr>
            <w:tcW w:w="0" w:type="auto"/>
            <w:vAlign w:val="center"/>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pict>
                <v:rect id="_x0000_i1025" style="width:0;height:1.5pt" o:hralign="center" o:hrstd="t" o:hr="t" fillcolor="#a0a0a0" stroked="f"/>
              </w:pict>
            </w:r>
          </w:p>
        </w:tc>
      </w:tr>
      <w:tr w:rsidR="006B453F" w:rsidRPr="006B453F" w:rsidTr="006B453F">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6B453F" w:rsidRPr="006B453F">
              <w:trPr>
                <w:tblCellSpacing w:w="15" w:type="dxa"/>
              </w:trPr>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t xml:space="preserve">Author: </w:t>
                  </w:r>
                </w:p>
              </w:tc>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proofErr w:type="spellStart"/>
                  <w:r w:rsidRPr="006B453F">
                    <w:rPr>
                      <w:rFonts w:ascii="Times New Roman" w:eastAsia="Times New Roman" w:hAnsi="Times New Roman" w:cs="Times New Roman"/>
                      <w:sz w:val="24"/>
                      <w:szCs w:val="24"/>
                    </w:rPr>
                    <w:t>Ashim</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K.Sen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Dhanya</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B.Sen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Aarti</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S.Zanwar</w:t>
                  </w:r>
                  <w:proofErr w:type="spellEnd"/>
                  <w:r w:rsidRPr="006B453F">
                    <w:rPr>
                      <w:rFonts w:ascii="Times New Roman" w:eastAsia="Times New Roman" w:hAnsi="Times New Roman" w:cs="Times New Roman"/>
                      <w:sz w:val="24"/>
                      <w:szCs w:val="24"/>
                    </w:rPr>
                    <w:t xml:space="preserve">, Rajesh </w:t>
                  </w:r>
                  <w:proofErr w:type="spellStart"/>
                  <w:r w:rsidRPr="006B453F">
                    <w:rPr>
                      <w:rFonts w:ascii="Times New Roman" w:eastAsia="Times New Roman" w:hAnsi="Times New Roman" w:cs="Times New Roman"/>
                      <w:sz w:val="24"/>
                      <w:szCs w:val="24"/>
                    </w:rPr>
                    <w:t>A.Maheshwari</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R.Balaraman</w:t>
                  </w:r>
                  <w:proofErr w:type="spellEnd"/>
                  <w:r w:rsidRPr="006B453F">
                    <w:rPr>
                      <w:rFonts w:ascii="Times New Roman" w:eastAsia="Times New Roman" w:hAnsi="Times New Roman" w:cs="Times New Roman"/>
                      <w:sz w:val="24"/>
                      <w:szCs w:val="24"/>
                    </w:rPr>
                    <w:t xml:space="preserve"> </w:t>
                  </w:r>
                </w:p>
              </w:tc>
            </w:tr>
            <w:tr w:rsidR="006B453F" w:rsidRPr="006B453F">
              <w:trPr>
                <w:tblCellSpacing w:w="15" w:type="dxa"/>
              </w:trPr>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t xml:space="preserve">Abstract: </w:t>
                  </w:r>
                </w:p>
              </w:tc>
              <w:tc>
                <w:tcPr>
                  <w:tcW w:w="0" w:type="auto"/>
                  <w:hideMark/>
                </w:tcPr>
                <w:p w:rsidR="006B453F" w:rsidRPr="006B453F" w:rsidRDefault="006B453F" w:rsidP="006B453F">
                  <w:pPr>
                    <w:spacing w:after="0" w:line="240" w:lineRule="auto"/>
                    <w:jc w:val="both"/>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t xml:space="preserve">Three new UV </w:t>
                  </w:r>
                  <w:proofErr w:type="spellStart"/>
                  <w:r w:rsidRPr="006B453F">
                    <w:rPr>
                      <w:rFonts w:ascii="Times New Roman" w:eastAsia="Times New Roman" w:hAnsi="Times New Roman" w:cs="Times New Roman"/>
                      <w:sz w:val="24"/>
                      <w:szCs w:val="24"/>
                    </w:rPr>
                    <w:t>spectrophotometric</w:t>
                  </w:r>
                  <w:proofErr w:type="spellEnd"/>
                  <w:r w:rsidRPr="006B453F">
                    <w:rPr>
                      <w:rFonts w:ascii="Times New Roman" w:eastAsia="Times New Roman" w:hAnsi="Times New Roman" w:cs="Times New Roman"/>
                      <w:sz w:val="24"/>
                      <w:szCs w:val="24"/>
                    </w:rPr>
                    <w:t xml:space="preserve"> methods namely simultaneous equation, absorbance ratio and first derivative (zero crossing) spectroscopic methods were developed and validated for simultaneous estimation of </w:t>
                  </w: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hemifumarate</w:t>
                  </w:r>
                  <w:proofErr w:type="spellEnd"/>
                  <w:r w:rsidRPr="006B453F">
                    <w:rPr>
                      <w:rFonts w:ascii="Times New Roman" w:eastAsia="Times New Roman" w:hAnsi="Times New Roman" w:cs="Times New Roman"/>
                      <w:sz w:val="24"/>
                      <w:szCs w:val="24"/>
                    </w:rPr>
                    <w:t xml:space="preserve"> and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in tablet formulation which were simple, sensitive, precise and accurate. In simultaneous equation method, absorbance was measured at 250 and 280 nm for both the drugs. </w:t>
                  </w: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hemiumarate</w:t>
                  </w:r>
                  <w:proofErr w:type="spellEnd"/>
                  <w:r w:rsidRPr="006B453F">
                    <w:rPr>
                      <w:rFonts w:ascii="Times New Roman" w:eastAsia="Times New Roman" w:hAnsi="Times New Roman" w:cs="Times New Roman"/>
                      <w:sz w:val="24"/>
                      <w:szCs w:val="24"/>
                    </w:rPr>
                    <w:t xml:space="preserve"> and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was estimated using 250 and 282 nm in absorbance ratio method. First derivative (zero crossing) method was based on the transformation of UV spectra in to first derivative spectra followed by measurement of first derivative signal at 244 and 280.30 nm for </w:t>
                  </w: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hemifumarate</w:t>
                  </w:r>
                  <w:proofErr w:type="spellEnd"/>
                  <w:r w:rsidRPr="006B453F">
                    <w:rPr>
                      <w:rFonts w:ascii="Times New Roman" w:eastAsia="Times New Roman" w:hAnsi="Times New Roman" w:cs="Times New Roman"/>
                      <w:sz w:val="24"/>
                      <w:szCs w:val="24"/>
                    </w:rPr>
                    <w:t xml:space="preserve"> and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respectively using 2 nm as wavelength interval (??) and 1 as scaling factor. Developed methods were validated according to ICH guidelines including parameters viz., specificity, linearity and range, precision, accuracy, limit of detection and quantification. All the three methods showed linear response in the concentration range of 1-30 µg/ml for </w:t>
                  </w: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hemifumarate</w:t>
                  </w:r>
                  <w:proofErr w:type="spellEnd"/>
                  <w:r w:rsidRPr="006B453F">
                    <w:rPr>
                      <w:rFonts w:ascii="Times New Roman" w:eastAsia="Times New Roman" w:hAnsi="Times New Roman" w:cs="Times New Roman"/>
                      <w:sz w:val="24"/>
                      <w:szCs w:val="24"/>
                    </w:rPr>
                    <w:t xml:space="preserve"> and 1.067-32 µg/ml for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Results of method validation parameters follows ICH guideline acceptable limits. Based on the assay results obtained, methods were compared using Student’s analysis of variance (ANOVA) test (single factor) at 95% confidence level. Outcome of the statistical analysis proved that there was no considerable dissimilarity between all the developed methods. Methods </w:t>
                  </w:r>
                  <w:proofErr w:type="spellStart"/>
                  <w:r w:rsidRPr="006B453F">
                    <w:rPr>
                      <w:rFonts w:ascii="Times New Roman" w:eastAsia="Times New Roman" w:hAnsi="Times New Roman" w:cs="Times New Roman"/>
                      <w:sz w:val="24"/>
                      <w:szCs w:val="24"/>
                    </w:rPr>
                    <w:t>werefound</w:t>
                  </w:r>
                  <w:proofErr w:type="spellEnd"/>
                  <w:r w:rsidRPr="006B453F">
                    <w:rPr>
                      <w:rFonts w:ascii="Times New Roman" w:eastAsia="Times New Roman" w:hAnsi="Times New Roman" w:cs="Times New Roman"/>
                      <w:sz w:val="24"/>
                      <w:szCs w:val="24"/>
                    </w:rPr>
                    <w:t xml:space="preserve"> to be simple, fast, highly sensitive, cost effective and hence can be useful for simultaneous estimation of </w:t>
                  </w: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hemifumarate</w:t>
                  </w:r>
                  <w:proofErr w:type="spellEnd"/>
                  <w:r w:rsidRPr="006B453F">
                    <w:rPr>
                      <w:rFonts w:ascii="Times New Roman" w:eastAsia="Times New Roman" w:hAnsi="Times New Roman" w:cs="Times New Roman"/>
                      <w:sz w:val="24"/>
                      <w:szCs w:val="24"/>
                    </w:rPr>
                    <w:t xml:space="preserve"> and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in commercial tablet formulation for routine quality control analysis. </w:t>
                  </w:r>
                </w:p>
              </w:tc>
            </w:tr>
            <w:tr w:rsidR="006B453F" w:rsidRPr="006B453F">
              <w:trPr>
                <w:tblCellSpacing w:w="15" w:type="dxa"/>
              </w:trPr>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t xml:space="preserve">Keyword: </w:t>
                  </w:r>
                </w:p>
              </w:tc>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proofErr w:type="spellStart"/>
                  <w:r w:rsidRPr="006B453F">
                    <w:rPr>
                      <w:rFonts w:ascii="Times New Roman" w:eastAsia="Times New Roman" w:hAnsi="Times New Roman" w:cs="Times New Roman"/>
                      <w:sz w:val="24"/>
                      <w:szCs w:val="24"/>
                    </w:rPr>
                    <w:t>Aliskiren</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hemifumarate</w:t>
                  </w:r>
                  <w:proofErr w:type="spellEnd"/>
                  <w:r w:rsidRPr="006B453F">
                    <w:rPr>
                      <w:rFonts w:ascii="Times New Roman" w:eastAsia="Times New Roman" w:hAnsi="Times New Roman" w:cs="Times New Roman"/>
                      <w:sz w:val="24"/>
                      <w:szCs w:val="24"/>
                    </w:rPr>
                    <w:t xml:space="preserve">, </w:t>
                  </w:r>
                  <w:proofErr w:type="spellStart"/>
                  <w:r w:rsidRPr="006B453F">
                    <w:rPr>
                      <w:rFonts w:ascii="Times New Roman" w:eastAsia="Times New Roman" w:hAnsi="Times New Roman" w:cs="Times New Roman"/>
                      <w:sz w:val="24"/>
                      <w:szCs w:val="24"/>
                    </w:rPr>
                    <w:t>valsartan</w:t>
                  </w:r>
                  <w:proofErr w:type="spellEnd"/>
                  <w:r w:rsidRPr="006B453F">
                    <w:rPr>
                      <w:rFonts w:ascii="Times New Roman" w:eastAsia="Times New Roman" w:hAnsi="Times New Roman" w:cs="Times New Roman"/>
                      <w:sz w:val="24"/>
                      <w:szCs w:val="24"/>
                    </w:rPr>
                    <w:t xml:space="preserve">, simultaneous equation, absorbance ratio, first derivative (zero crossing) spectroscopic methods, tablet formulation </w:t>
                  </w:r>
                </w:p>
              </w:tc>
            </w:tr>
            <w:tr w:rsidR="006B453F" w:rsidRPr="006B453F">
              <w:trPr>
                <w:tblCellSpacing w:w="15" w:type="dxa"/>
              </w:trPr>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r w:rsidRPr="006B453F">
                    <w:rPr>
                      <w:rFonts w:ascii="Times New Roman" w:eastAsia="Times New Roman" w:hAnsi="Times New Roman" w:cs="Times New Roman"/>
                      <w:sz w:val="24"/>
                      <w:szCs w:val="24"/>
                    </w:rPr>
                    <w:t xml:space="preserve">DOI: </w:t>
                  </w:r>
                </w:p>
              </w:tc>
              <w:tc>
                <w:tcPr>
                  <w:tcW w:w="0" w:type="auto"/>
                  <w:hideMark/>
                </w:tcPr>
                <w:p w:rsidR="006B453F" w:rsidRPr="006B453F" w:rsidRDefault="006B453F" w:rsidP="006B453F">
                  <w:pPr>
                    <w:spacing w:after="0" w:line="240" w:lineRule="auto"/>
                    <w:rPr>
                      <w:rFonts w:ascii="Times New Roman" w:eastAsia="Times New Roman" w:hAnsi="Times New Roman" w:cs="Times New Roman"/>
                      <w:sz w:val="24"/>
                      <w:szCs w:val="24"/>
                    </w:rPr>
                  </w:pPr>
                  <w:hyperlink r:id="rId4" w:tgtFrame="/" w:history="1">
                    <w:r w:rsidRPr="006B453F">
                      <w:rPr>
                        <w:rFonts w:ascii="Times New Roman" w:eastAsia="Times New Roman" w:hAnsi="Times New Roman" w:cs="Times New Roman"/>
                        <w:color w:val="0000FF"/>
                        <w:sz w:val="24"/>
                        <w:szCs w:val="24"/>
                        <w:u w:val="single"/>
                      </w:rPr>
                      <w:t>https://doi.org/10.31838/ijpr/2020.12.04.496</w:t>
                    </w:r>
                  </w:hyperlink>
                </w:p>
              </w:tc>
            </w:tr>
          </w:tbl>
          <w:p w:rsidR="006B453F" w:rsidRPr="006B453F" w:rsidRDefault="006B453F" w:rsidP="006B453F">
            <w:pPr>
              <w:spacing w:after="0" w:line="240" w:lineRule="auto"/>
              <w:rPr>
                <w:rFonts w:ascii="Times New Roman" w:eastAsia="Times New Roman" w:hAnsi="Times New Roman" w:cs="Times New Roman"/>
                <w:sz w:val="24"/>
                <w:szCs w:val="24"/>
              </w:rPr>
            </w:pPr>
          </w:p>
        </w:tc>
      </w:tr>
    </w:tbl>
    <w:p w:rsidR="00000000" w:rsidRDefault="009624E2">
      <w:r>
        <w:t xml:space="preserve">FULL </w:t>
      </w:r>
      <w:proofErr w:type="gramStart"/>
      <w:r>
        <w:t>TEXT :</w:t>
      </w:r>
      <w:proofErr w:type="gramEnd"/>
      <w:r>
        <w:t xml:space="preserve">  </w:t>
      </w:r>
      <w:hyperlink r:id="rId5" w:history="1">
        <w:r w:rsidRPr="00687665">
          <w:rPr>
            <w:rStyle w:val="Hyperlink"/>
          </w:rPr>
          <w:t>http://www.ijpronline.com/ViewArticleDetail.aspx?ID=18453</w:t>
        </w:r>
      </w:hyperlink>
    </w:p>
    <w:p w:rsidR="009624E2" w:rsidRDefault="009624E2"/>
    <w:sectPr w:rsidR="009624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453F"/>
    <w:rsid w:val="006B453F"/>
    <w:rsid w:val="009624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3F"/>
    <w:rPr>
      <w:color w:val="0000FF"/>
      <w:u w:val="single"/>
    </w:rPr>
  </w:style>
</w:styles>
</file>

<file path=word/webSettings.xml><?xml version="1.0" encoding="utf-8"?>
<w:webSettings xmlns:r="http://schemas.openxmlformats.org/officeDocument/2006/relationships" xmlns:w="http://schemas.openxmlformats.org/wordprocessingml/2006/main">
  <w:divs>
    <w:div w:id="210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8453" TargetMode="External"/><Relationship Id="rId4" Type="http://schemas.openxmlformats.org/officeDocument/2006/relationships/hyperlink" Target="https://doi.org/10.31838/ijpr/2020.12.04.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2021-09-20T10:00:00Z</dcterms:created>
  <dcterms:modified xsi:type="dcterms:W3CDTF">2021-09-20T10:01:00Z</dcterms:modified>
</cp:coreProperties>
</file>