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026"/>
      </w:tblGrid>
      <w:tr w:rsidR="00D272FE" w:rsidRPr="00D272FE" w:rsidTr="00D272FE">
        <w:trPr>
          <w:tblCellSpacing w:w="0" w:type="dxa"/>
        </w:trPr>
        <w:tc>
          <w:tcPr>
            <w:tcW w:w="0" w:type="auto"/>
            <w:vAlign w:val="center"/>
            <w:hideMark/>
          </w:tcPr>
          <w:p w:rsidR="00D272FE" w:rsidRPr="00D272FE" w:rsidRDefault="00D272FE" w:rsidP="00D272FE">
            <w:pPr>
              <w:spacing w:after="0" w:line="240" w:lineRule="auto"/>
              <w:rPr>
                <w:rFonts w:ascii="Times New Roman" w:eastAsia="Times New Roman" w:hAnsi="Times New Roman" w:cs="Times New Roman"/>
                <w:sz w:val="24"/>
                <w:szCs w:val="24"/>
              </w:rPr>
            </w:pPr>
            <w:r w:rsidRPr="00D272FE">
              <w:rPr>
                <w:rFonts w:ascii="Times New Roman" w:eastAsia="Times New Roman" w:hAnsi="Times New Roman" w:cs="Times New Roman"/>
                <w:b/>
                <w:bCs/>
                <w:sz w:val="24"/>
                <w:szCs w:val="24"/>
              </w:rPr>
              <w:t xml:space="preserve">Simultaneous Assessment of </w:t>
            </w:r>
            <w:proofErr w:type="spellStart"/>
            <w:r w:rsidRPr="00D272FE">
              <w:rPr>
                <w:rFonts w:ascii="Times New Roman" w:eastAsia="Times New Roman" w:hAnsi="Times New Roman" w:cs="Times New Roman"/>
                <w:b/>
                <w:bCs/>
                <w:sz w:val="24"/>
                <w:szCs w:val="24"/>
              </w:rPr>
              <w:t>Alogliptin</w:t>
            </w:r>
            <w:proofErr w:type="spellEnd"/>
            <w:r w:rsidRPr="00D272FE">
              <w:rPr>
                <w:rFonts w:ascii="Times New Roman" w:eastAsia="Times New Roman" w:hAnsi="Times New Roman" w:cs="Times New Roman"/>
                <w:b/>
                <w:bCs/>
                <w:sz w:val="24"/>
                <w:szCs w:val="24"/>
              </w:rPr>
              <w:t xml:space="preserve"> Benzoate and </w:t>
            </w:r>
            <w:proofErr w:type="spellStart"/>
            <w:r w:rsidRPr="00D272FE">
              <w:rPr>
                <w:rFonts w:ascii="Times New Roman" w:eastAsia="Times New Roman" w:hAnsi="Times New Roman" w:cs="Times New Roman"/>
                <w:b/>
                <w:bCs/>
                <w:sz w:val="24"/>
                <w:szCs w:val="24"/>
              </w:rPr>
              <w:t>Pioglitazone</w:t>
            </w:r>
            <w:proofErr w:type="spellEnd"/>
            <w:r w:rsidRPr="00D272FE">
              <w:rPr>
                <w:rFonts w:ascii="Times New Roman" w:eastAsia="Times New Roman" w:hAnsi="Times New Roman" w:cs="Times New Roman"/>
                <w:b/>
                <w:bCs/>
                <w:sz w:val="24"/>
                <w:szCs w:val="24"/>
              </w:rPr>
              <w:t xml:space="preserve"> Hydrochloride in Combined Tablet Dosage Form by UV </w:t>
            </w:r>
            <w:proofErr w:type="spellStart"/>
            <w:r w:rsidRPr="00D272FE">
              <w:rPr>
                <w:rFonts w:ascii="Times New Roman" w:eastAsia="Times New Roman" w:hAnsi="Times New Roman" w:cs="Times New Roman"/>
                <w:b/>
                <w:bCs/>
                <w:sz w:val="24"/>
                <w:szCs w:val="24"/>
              </w:rPr>
              <w:t>Spectrophotometric</w:t>
            </w:r>
            <w:proofErr w:type="spellEnd"/>
            <w:r w:rsidRPr="00D272FE">
              <w:rPr>
                <w:rFonts w:ascii="Times New Roman" w:eastAsia="Times New Roman" w:hAnsi="Times New Roman" w:cs="Times New Roman"/>
                <w:b/>
                <w:bCs/>
                <w:sz w:val="24"/>
                <w:szCs w:val="24"/>
              </w:rPr>
              <w:t xml:space="preserve"> Methods</w:t>
            </w:r>
            <w:r w:rsidRPr="00D272FE">
              <w:rPr>
                <w:rFonts w:ascii="Times New Roman" w:eastAsia="Times New Roman" w:hAnsi="Times New Roman" w:cs="Times New Roman"/>
                <w:sz w:val="24"/>
                <w:szCs w:val="24"/>
              </w:rPr>
              <w:t xml:space="preserve"> </w:t>
            </w:r>
          </w:p>
        </w:tc>
      </w:tr>
      <w:tr w:rsidR="00D272FE" w:rsidRPr="00D272FE" w:rsidTr="00D272FE">
        <w:trPr>
          <w:tblCellSpacing w:w="0" w:type="dxa"/>
        </w:trPr>
        <w:tc>
          <w:tcPr>
            <w:tcW w:w="0" w:type="auto"/>
            <w:vAlign w:val="center"/>
            <w:hideMark/>
          </w:tcPr>
          <w:p w:rsidR="00D272FE" w:rsidRPr="00D272FE" w:rsidRDefault="00D272FE" w:rsidP="00D272FE">
            <w:pPr>
              <w:spacing w:after="0" w:line="240" w:lineRule="auto"/>
              <w:rPr>
                <w:rFonts w:ascii="Times New Roman" w:eastAsia="Times New Roman" w:hAnsi="Times New Roman" w:cs="Times New Roman"/>
                <w:sz w:val="24"/>
                <w:szCs w:val="24"/>
              </w:rPr>
            </w:pPr>
            <w:r w:rsidRPr="00D272FE">
              <w:rPr>
                <w:rFonts w:ascii="Times New Roman" w:eastAsia="Times New Roman" w:hAnsi="Times New Roman" w:cs="Times New Roman"/>
                <w:sz w:val="24"/>
                <w:szCs w:val="24"/>
              </w:rPr>
              <w:pict>
                <v:rect id="_x0000_i1025" style="width:0;height:1.5pt" o:hralign="center" o:hrstd="t" o:hr="t" fillcolor="#a0a0a0" stroked="f"/>
              </w:pict>
            </w:r>
          </w:p>
        </w:tc>
      </w:tr>
      <w:tr w:rsidR="00D272FE" w:rsidRPr="00D272FE" w:rsidTr="00D272FE">
        <w:trPr>
          <w:tblCellSpacing w:w="0" w:type="dxa"/>
        </w:trPr>
        <w:tc>
          <w:tcPr>
            <w:tcW w:w="0" w:type="auto"/>
            <w:vAlign w:val="center"/>
            <w:hideMark/>
          </w:tcPr>
          <w:tbl>
            <w:tblPr>
              <w:tblW w:w="0" w:type="auto"/>
              <w:tblCellSpacing w:w="15" w:type="dxa"/>
              <w:tblCellMar>
                <w:top w:w="30" w:type="dxa"/>
                <w:left w:w="30" w:type="dxa"/>
                <w:bottom w:w="30" w:type="dxa"/>
                <w:right w:w="30" w:type="dxa"/>
              </w:tblCellMar>
              <w:tblLook w:val="04A0"/>
            </w:tblPr>
            <w:tblGrid>
              <w:gridCol w:w="1065"/>
              <w:gridCol w:w="7961"/>
            </w:tblGrid>
            <w:tr w:rsidR="00D272FE" w:rsidRPr="00D272FE">
              <w:trPr>
                <w:tblCellSpacing w:w="15" w:type="dxa"/>
              </w:trPr>
              <w:tc>
                <w:tcPr>
                  <w:tcW w:w="0" w:type="auto"/>
                  <w:hideMark/>
                </w:tcPr>
                <w:p w:rsidR="00D272FE" w:rsidRPr="00D272FE" w:rsidRDefault="00D272FE" w:rsidP="00D272FE">
                  <w:pPr>
                    <w:spacing w:after="0" w:line="240" w:lineRule="auto"/>
                    <w:rPr>
                      <w:rFonts w:ascii="Times New Roman" w:eastAsia="Times New Roman" w:hAnsi="Times New Roman" w:cs="Times New Roman"/>
                      <w:sz w:val="24"/>
                      <w:szCs w:val="24"/>
                    </w:rPr>
                  </w:pPr>
                  <w:r w:rsidRPr="00D272FE">
                    <w:rPr>
                      <w:rFonts w:ascii="Times New Roman" w:eastAsia="Times New Roman" w:hAnsi="Times New Roman" w:cs="Times New Roman"/>
                      <w:sz w:val="24"/>
                      <w:szCs w:val="24"/>
                    </w:rPr>
                    <w:t xml:space="preserve">Author: </w:t>
                  </w:r>
                </w:p>
              </w:tc>
              <w:tc>
                <w:tcPr>
                  <w:tcW w:w="0" w:type="auto"/>
                  <w:hideMark/>
                </w:tcPr>
                <w:p w:rsidR="00D272FE" w:rsidRPr="00D272FE" w:rsidRDefault="00D272FE" w:rsidP="00D272FE">
                  <w:pPr>
                    <w:spacing w:after="0" w:line="240" w:lineRule="auto"/>
                    <w:rPr>
                      <w:rFonts w:ascii="Times New Roman" w:eastAsia="Times New Roman" w:hAnsi="Times New Roman" w:cs="Times New Roman"/>
                      <w:sz w:val="24"/>
                      <w:szCs w:val="24"/>
                    </w:rPr>
                  </w:pPr>
                  <w:proofErr w:type="spellStart"/>
                  <w:r w:rsidRPr="00D272FE">
                    <w:rPr>
                      <w:rFonts w:ascii="Times New Roman" w:eastAsia="Times New Roman" w:hAnsi="Times New Roman" w:cs="Times New Roman"/>
                      <w:sz w:val="24"/>
                      <w:szCs w:val="24"/>
                    </w:rPr>
                    <w:t>Dhanya</w:t>
                  </w:r>
                  <w:proofErr w:type="spellEnd"/>
                  <w:r w:rsidRPr="00D272FE">
                    <w:rPr>
                      <w:rFonts w:ascii="Times New Roman" w:eastAsia="Times New Roman" w:hAnsi="Times New Roman" w:cs="Times New Roman"/>
                      <w:sz w:val="24"/>
                      <w:szCs w:val="24"/>
                    </w:rPr>
                    <w:t xml:space="preserve"> </w:t>
                  </w:r>
                  <w:proofErr w:type="spellStart"/>
                  <w:r w:rsidRPr="00D272FE">
                    <w:rPr>
                      <w:rFonts w:ascii="Times New Roman" w:eastAsia="Times New Roman" w:hAnsi="Times New Roman" w:cs="Times New Roman"/>
                      <w:sz w:val="24"/>
                      <w:szCs w:val="24"/>
                    </w:rPr>
                    <w:t>B.Sen</w:t>
                  </w:r>
                  <w:proofErr w:type="spellEnd"/>
                  <w:r w:rsidRPr="00D272FE">
                    <w:rPr>
                      <w:rFonts w:ascii="Times New Roman" w:eastAsia="Times New Roman" w:hAnsi="Times New Roman" w:cs="Times New Roman"/>
                      <w:sz w:val="24"/>
                      <w:szCs w:val="24"/>
                    </w:rPr>
                    <w:t xml:space="preserve">, </w:t>
                  </w:r>
                  <w:proofErr w:type="spellStart"/>
                  <w:r w:rsidRPr="00D272FE">
                    <w:rPr>
                      <w:rFonts w:ascii="Times New Roman" w:eastAsia="Times New Roman" w:hAnsi="Times New Roman" w:cs="Times New Roman"/>
                      <w:sz w:val="24"/>
                      <w:szCs w:val="24"/>
                    </w:rPr>
                    <w:t>Ashim</w:t>
                  </w:r>
                  <w:proofErr w:type="spellEnd"/>
                  <w:r w:rsidRPr="00D272FE">
                    <w:rPr>
                      <w:rFonts w:ascii="Times New Roman" w:eastAsia="Times New Roman" w:hAnsi="Times New Roman" w:cs="Times New Roman"/>
                      <w:sz w:val="24"/>
                      <w:szCs w:val="24"/>
                    </w:rPr>
                    <w:t xml:space="preserve"> </w:t>
                  </w:r>
                  <w:proofErr w:type="spellStart"/>
                  <w:r w:rsidRPr="00D272FE">
                    <w:rPr>
                      <w:rFonts w:ascii="Times New Roman" w:eastAsia="Times New Roman" w:hAnsi="Times New Roman" w:cs="Times New Roman"/>
                      <w:sz w:val="24"/>
                      <w:szCs w:val="24"/>
                    </w:rPr>
                    <w:t>K.Sen</w:t>
                  </w:r>
                  <w:proofErr w:type="spellEnd"/>
                  <w:r w:rsidRPr="00D272FE">
                    <w:rPr>
                      <w:rFonts w:ascii="Times New Roman" w:eastAsia="Times New Roman" w:hAnsi="Times New Roman" w:cs="Times New Roman"/>
                      <w:sz w:val="24"/>
                      <w:szCs w:val="24"/>
                    </w:rPr>
                    <w:t xml:space="preserve">, R </w:t>
                  </w:r>
                  <w:proofErr w:type="spellStart"/>
                  <w:r w:rsidRPr="00D272FE">
                    <w:rPr>
                      <w:rFonts w:ascii="Times New Roman" w:eastAsia="Times New Roman" w:hAnsi="Times New Roman" w:cs="Times New Roman"/>
                      <w:sz w:val="24"/>
                      <w:szCs w:val="24"/>
                    </w:rPr>
                    <w:t>Balaraman</w:t>
                  </w:r>
                  <w:proofErr w:type="spellEnd"/>
                  <w:r w:rsidRPr="00D272FE">
                    <w:rPr>
                      <w:rFonts w:ascii="Times New Roman" w:eastAsia="Times New Roman" w:hAnsi="Times New Roman" w:cs="Times New Roman"/>
                      <w:sz w:val="24"/>
                      <w:szCs w:val="24"/>
                    </w:rPr>
                    <w:t xml:space="preserve">, Rajesh A. </w:t>
                  </w:r>
                  <w:proofErr w:type="spellStart"/>
                  <w:r w:rsidRPr="00D272FE">
                    <w:rPr>
                      <w:rFonts w:ascii="Times New Roman" w:eastAsia="Times New Roman" w:hAnsi="Times New Roman" w:cs="Times New Roman"/>
                      <w:sz w:val="24"/>
                      <w:szCs w:val="24"/>
                    </w:rPr>
                    <w:t>Maheshwari</w:t>
                  </w:r>
                  <w:proofErr w:type="spellEnd"/>
                  <w:r w:rsidRPr="00D272FE">
                    <w:rPr>
                      <w:rFonts w:ascii="Times New Roman" w:eastAsia="Times New Roman" w:hAnsi="Times New Roman" w:cs="Times New Roman"/>
                      <w:sz w:val="24"/>
                      <w:szCs w:val="24"/>
                    </w:rPr>
                    <w:t xml:space="preserve">, </w:t>
                  </w:r>
                  <w:proofErr w:type="spellStart"/>
                  <w:r w:rsidRPr="00D272FE">
                    <w:rPr>
                      <w:rFonts w:ascii="Times New Roman" w:eastAsia="Times New Roman" w:hAnsi="Times New Roman" w:cs="Times New Roman"/>
                      <w:sz w:val="24"/>
                      <w:szCs w:val="24"/>
                    </w:rPr>
                    <w:t>Aarti</w:t>
                  </w:r>
                  <w:proofErr w:type="spellEnd"/>
                  <w:r w:rsidRPr="00D272FE">
                    <w:rPr>
                      <w:rFonts w:ascii="Times New Roman" w:eastAsia="Times New Roman" w:hAnsi="Times New Roman" w:cs="Times New Roman"/>
                      <w:sz w:val="24"/>
                      <w:szCs w:val="24"/>
                    </w:rPr>
                    <w:t xml:space="preserve"> </w:t>
                  </w:r>
                  <w:proofErr w:type="spellStart"/>
                  <w:r w:rsidRPr="00D272FE">
                    <w:rPr>
                      <w:rFonts w:ascii="Times New Roman" w:eastAsia="Times New Roman" w:hAnsi="Times New Roman" w:cs="Times New Roman"/>
                      <w:sz w:val="24"/>
                      <w:szCs w:val="24"/>
                    </w:rPr>
                    <w:t>S.Zanwar</w:t>
                  </w:r>
                  <w:proofErr w:type="spellEnd"/>
                  <w:r w:rsidRPr="00D272FE">
                    <w:rPr>
                      <w:rFonts w:ascii="Times New Roman" w:eastAsia="Times New Roman" w:hAnsi="Times New Roman" w:cs="Times New Roman"/>
                      <w:sz w:val="24"/>
                      <w:szCs w:val="24"/>
                    </w:rPr>
                    <w:t xml:space="preserve"> </w:t>
                  </w:r>
                </w:p>
              </w:tc>
            </w:tr>
            <w:tr w:rsidR="00D272FE" w:rsidRPr="00D272FE">
              <w:trPr>
                <w:tblCellSpacing w:w="15" w:type="dxa"/>
              </w:trPr>
              <w:tc>
                <w:tcPr>
                  <w:tcW w:w="0" w:type="auto"/>
                  <w:hideMark/>
                </w:tcPr>
                <w:p w:rsidR="00D272FE" w:rsidRPr="00D272FE" w:rsidRDefault="00D272FE" w:rsidP="00D272FE">
                  <w:pPr>
                    <w:spacing w:after="0" w:line="240" w:lineRule="auto"/>
                    <w:rPr>
                      <w:rFonts w:ascii="Times New Roman" w:eastAsia="Times New Roman" w:hAnsi="Times New Roman" w:cs="Times New Roman"/>
                      <w:sz w:val="24"/>
                      <w:szCs w:val="24"/>
                    </w:rPr>
                  </w:pPr>
                  <w:r w:rsidRPr="00D272FE">
                    <w:rPr>
                      <w:rFonts w:ascii="Times New Roman" w:eastAsia="Times New Roman" w:hAnsi="Times New Roman" w:cs="Times New Roman"/>
                      <w:sz w:val="24"/>
                      <w:szCs w:val="24"/>
                    </w:rPr>
                    <w:t xml:space="preserve">Abstract: </w:t>
                  </w:r>
                </w:p>
              </w:tc>
              <w:tc>
                <w:tcPr>
                  <w:tcW w:w="0" w:type="auto"/>
                  <w:hideMark/>
                </w:tcPr>
                <w:p w:rsidR="00D272FE" w:rsidRPr="00D272FE" w:rsidRDefault="00D272FE" w:rsidP="00D272FE">
                  <w:pPr>
                    <w:spacing w:after="0" w:line="240" w:lineRule="auto"/>
                    <w:jc w:val="both"/>
                    <w:rPr>
                      <w:rFonts w:ascii="Times New Roman" w:eastAsia="Times New Roman" w:hAnsi="Times New Roman" w:cs="Times New Roman"/>
                      <w:sz w:val="24"/>
                      <w:szCs w:val="24"/>
                    </w:rPr>
                  </w:pPr>
                  <w:r w:rsidRPr="00D272FE">
                    <w:rPr>
                      <w:rFonts w:ascii="Times New Roman" w:eastAsia="Times New Roman" w:hAnsi="Times New Roman" w:cs="Times New Roman"/>
                      <w:sz w:val="24"/>
                      <w:szCs w:val="24"/>
                    </w:rPr>
                    <w:t>Two simple, sensitive, accurate and precise UV-</w:t>
                  </w:r>
                  <w:proofErr w:type="spellStart"/>
                  <w:r w:rsidRPr="00D272FE">
                    <w:rPr>
                      <w:rFonts w:ascii="Times New Roman" w:eastAsia="Times New Roman" w:hAnsi="Times New Roman" w:cs="Times New Roman"/>
                      <w:sz w:val="24"/>
                      <w:szCs w:val="24"/>
                    </w:rPr>
                    <w:t>Spectrophotometric</w:t>
                  </w:r>
                  <w:proofErr w:type="spellEnd"/>
                  <w:r w:rsidRPr="00D272FE">
                    <w:rPr>
                      <w:rFonts w:ascii="Times New Roman" w:eastAsia="Times New Roman" w:hAnsi="Times New Roman" w:cs="Times New Roman"/>
                      <w:sz w:val="24"/>
                      <w:szCs w:val="24"/>
                    </w:rPr>
                    <w:t xml:space="preserve"> methods are proposed for the assay of </w:t>
                  </w:r>
                  <w:proofErr w:type="spellStart"/>
                  <w:r w:rsidRPr="00D272FE">
                    <w:rPr>
                      <w:rFonts w:ascii="Times New Roman" w:eastAsia="Times New Roman" w:hAnsi="Times New Roman" w:cs="Times New Roman"/>
                      <w:sz w:val="24"/>
                      <w:szCs w:val="24"/>
                    </w:rPr>
                    <w:t>alogliptin</w:t>
                  </w:r>
                  <w:proofErr w:type="spellEnd"/>
                  <w:r w:rsidRPr="00D272FE">
                    <w:rPr>
                      <w:rFonts w:ascii="Times New Roman" w:eastAsia="Times New Roman" w:hAnsi="Times New Roman" w:cs="Times New Roman"/>
                      <w:sz w:val="24"/>
                      <w:szCs w:val="24"/>
                    </w:rPr>
                    <w:t xml:space="preserve"> benzoate and </w:t>
                  </w:r>
                  <w:proofErr w:type="spellStart"/>
                  <w:r w:rsidRPr="00D272FE">
                    <w:rPr>
                      <w:rFonts w:ascii="Times New Roman" w:eastAsia="Times New Roman" w:hAnsi="Times New Roman" w:cs="Times New Roman"/>
                      <w:sz w:val="24"/>
                      <w:szCs w:val="24"/>
                    </w:rPr>
                    <w:t>pioglitazone</w:t>
                  </w:r>
                  <w:proofErr w:type="spellEnd"/>
                  <w:r w:rsidRPr="00D272FE">
                    <w:rPr>
                      <w:rFonts w:ascii="Times New Roman" w:eastAsia="Times New Roman" w:hAnsi="Times New Roman" w:cs="Times New Roman"/>
                      <w:sz w:val="24"/>
                      <w:szCs w:val="24"/>
                    </w:rPr>
                    <w:t xml:space="preserve"> hydrochloride in Bulk and Combined Tablet Dosage Form. The first method (Method A) involves simultaneous equation method, in which absorbance of both the drugs are measured at 224 and 268 nm, whereas in the second method (Method B) which is absorption ratio method, absorbance was measured at two w</w:t>
                  </w:r>
                  <w:r w:rsidR="003876A6">
                    <w:rPr>
                      <w:rFonts w:ascii="Times New Roman" w:eastAsia="Times New Roman" w:hAnsi="Times New Roman" w:cs="Times New Roman"/>
                      <w:sz w:val="24"/>
                      <w:szCs w:val="24"/>
                    </w:rPr>
                    <w:t xml:space="preserve">avelengths, 224 nm which is </w:t>
                  </w:r>
                  <w:proofErr w:type="spellStart"/>
                  <w:r w:rsidR="003876A6">
                    <w:rPr>
                      <w:rFonts w:ascii="Times New Roman" w:eastAsia="Times New Roman" w:hAnsi="Times New Roman" w:cs="Times New Roman"/>
                      <w:sz w:val="24"/>
                      <w:szCs w:val="24"/>
                    </w:rPr>
                    <w:t>the</w:t>
                  </w:r>
                  <w:proofErr w:type="gramStart"/>
                  <w:r w:rsidRPr="00D272FE">
                    <w:rPr>
                      <w:rFonts w:ascii="Times New Roman" w:eastAsia="Times New Roman" w:hAnsi="Times New Roman" w:cs="Times New Roman"/>
                      <w:sz w:val="24"/>
                      <w:szCs w:val="24"/>
                    </w:rPr>
                    <w:t>?max</w:t>
                  </w:r>
                  <w:proofErr w:type="spellEnd"/>
                  <w:proofErr w:type="gramEnd"/>
                  <w:r w:rsidRPr="00D272FE">
                    <w:rPr>
                      <w:rFonts w:ascii="Times New Roman" w:eastAsia="Times New Roman" w:hAnsi="Times New Roman" w:cs="Times New Roman"/>
                      <w:sz w:val="24"/>
                      <w:szCs w:val="24"/>
                    </w:rPr>
                    <w:t xml:space="preserve"> of </w:t>
                  </w:r>
                  <w:proofErr w:type="spellStart"/>
                  <w:r w:rsidRPr="00D272FE">
                    <w:rPr>
                      <w:rFonts w:ascii="Times New Roman" w:eastAsia="Times New Roman" w:hAnsi="Times New Roman" w:cs="Times New Roman"/>
                      <w:sz w:val="24"/>
                      <w:szCs w:val="24"/>
                    </w:rPr>
                    <w:t>alogliptin</w:t>
                  </w:r>
                  <w:proofErr w:type="spellEnd"/>
                  <w:r w:rsidRPr="00D272FE">
                    <w:rPr>
                      <w:rFonts w:ascii="Times New Roman" w:eastAsia="Times New Roman" w:hAnsi="Times New Roman" w:cs="Times New Roman"/>
                      <w:sz w:val="24"/>
                      <w:szCs w:val="24"/>
                    </w:rPr>
                    <w:t xml:space="preserve"> benzoate and 279 nm i.e. </w:t>
                  </w:r>
                  <w:proofErr w:type="spellStart"/>
                  <w:r w:rsidRPr="00D272FE">
                    <w:rPr>
                      <w:rFonts w:ascii="Times New Roman" w:eastAsia="Times New Roman" w:hAnsi="Times New Roman" w:cs="Times New Roman"/>
                      <w:sz w:val="24"/>
                      <w:szCs w:val="24"/>
                    </w:rPr>
                    <w:t>isobestic</w:t>
                  </w:r>
                  <w:proofErr w:type="spellEnd"/>
                  <w:r w:rsidRPr="00D272FE">
                    <w:rPr>
                      <w:rFonts w:ascii="Times New Roman" w:eastAsia="Times New Roman" w:hAnsi="Times New Roman" w:cs="Times New Roman"/>
                      <w:sz w:val="24"/>
                      <w:szCs w:val="24"/>
                    </w:rPr>
                    <w:t xml:space="preserve"> point of </w:t>
                  </w:r>
                  <w:proofErr w:type="spellStart"/>
                  <w:r w:rsidRPr="00D272FE">
                    <w:rPr>
                      <w:rFonts w:ascii="Times New Roman" w:eastAsia="Times New Roman" w:hAnsi="Times New Roman" w:cs="Times New Roman"/>
                      <w:sz w:val="24"/>
                      <w:szCs w:val="24"/>
                    </w:rPr>
                    <w:t>alogliptin</w:t>
                  </w:r>
                  <w:proofErr w:type="spellEnd"/>
                  <w:r w:rsidRPr="00D272FE">
                    <w:rPr>
                      <w:rFonts w:ascii="Times New Roman" w:eastAsia="Times New Roman" w:hAnsi="Times New Roman" w:cs="Times New Roman"/>
                      <w:sz w:val="24"/>
                      <w:szCs w:val="24"/>
                    </w:rPr>
                    <w:t xml:space="preserve"> benzoate and </w:t>
                  </w:r>
                  <w:proofErr w:type="spellStart"/>
                  <w:r w:rsidRPr="00D272FE">
                    <w:rPr>
                      <w:rFonts w:ascii="Times New Roman" w:eastAsia="Times New Roman" w:hAnsi="Times New Roman" w:cs="Times New Roman"/>
                      <w:sz w:val="24"/>
                      <w:szCs w:val="24"/>
                    </w:rPr>
                    <w:t>pioglitazone</w:t>
                  </w:r>
                  <w:proofErr w:type="spellEnd"/>
                  <w:r w:rsidRPr="00D272FE">
                    <w:rPr>
                      <w:rFonts w:ascii="Times New Roman" w:eastAsia="Times New Roman" w:hAnsi="Times New Roman" w:cs="Times New Roman"/>
                      <w:sz w:val="24"/>
                      <w:szCs w:val="24"/>
                    </w:rPr>
                    <w:t xml:space="preserve"> hydrochloride. For </w:t>
                  </w:r>
                  <w:proofErr w:type="gramStart"/>
                  <w:r w:rsidRPr="00D272FE">
                    <w:rPr>
                      <w:rFonts w:ascii="Times New Roman" w:eastAsia="Times New Roman" w:hAnsi="Times New Roman" w:cs="Times New Roman"/>
                      <w:sz w:val="24"/>
                      <w:szCs w:val="24"/>
                    </w:rPr>
                    <w:t>both the</w:t>
                  </w:r>
                  <w:proofErr w:type="gramEnd"/>
                  <w:r w:rsidRPr="00D272FE">
                    <w:rPr>
                      <w:rFonts w:ascii="Times New Roman" w:eastAsia="Times New Roman" w:hAnsi="Times New Roman" w:cs="Times New Roman"/>
                      <w:sz w:val="24"/>
                      <w:szCs w:val="24"/>
                    </w:rPr>
                    <w:t xml:space="preserve"> methods, </w:t>
                  </w:r>
                  <w:proofErr w:type="spellStart"/>
                  <w:r w:rsidRPr="00D272FE">
                    <w:rPr>
                      <w:rFonts w:ascii="Times New Roman" w:eastAsia="Times New Roman" w:hAnsi="Times New Roman" w:cs="Times New Roman"/>
                      <w:sz w:val="24"/>
                      <w:szCs w:val="24"/>
                    </w:rPr>
                    <w:t>alogliptin</w:t>
                  </w:r>
                  <w:proofErr w:type="spellEnd"/>
                  <w:r w:rsidRPr="00D272FE">
                    <w:rPr>
                      <w:rFonts w:ascii="Times New Roman" w:eastAsia="Times New Roman" w:hAnsi="Times New Roman" w:cs="Times New Roman"/>
                      <w:sz w:val="24"/>
                      <w:szCs w:val="24"/>
                    </w:rPr>
                    <w:t xml:space="preserve"> benzoate and </w:t>
                  </w:r>
                  <w:proofErr w:type="spellStart"/>
                  <w:r w:rsidRPr="00D272FE">
                    <w:rPr>
                      <w:rFonts w:ascii="Times New Roman" w:eastAsia="Times New Roman" w:hAnsi="Times New Roman" w:cs="Times New Roman"/>
                      <w:sz w:val="24"/>
                      <w:szCs w:val="24"/>
                    </w:rPr>
                    <w:t>pioglitazone</w:t>
                  </w:r>
                  <w:proofErr w:type="spellEnd"/>
                  <w:r w:rsidRPr="00D272FE">
                    <w:rPr>
                      <w:rFonts w:ascii="Times New Roman" w:eastAsia="Times New Roman" w:hAnsi="Times New Roman" w:cs="Times New Roman"/>
                      <w:sz w:val="24"/>
                      <w:szCs w:val="24"/>
                    </w:rPr>
                    <w:t xml:space="preserve"> hydrochloride follows Beer’s law in the concentration range of 0.5-12 &amp; 1.8-43.2 µg/ml, respectively. Correlation coefficients were found to be 0.9997 &amp; 0.9998 for </w:t>
                  </w:r>
                  <w:proofErr w:type="spellStart"/>
                  <w:r w:rsidRPr="00D272FE">
                    <w:rPr>
                      <w:rFonts w:ascii="Times New Roman" w:eastAsia="Times New Roman" w:hAnsi="Times New Roman" w:cs="Times New Roman"/>
                      <w:sz w:val="24"/>
                      <w:szCs w:val="24"/>
                    </w:rPr>
                    <w:t>alogliptin</w:t>
                  </w:r>
                  <w:proofErr w:type="spellEnd"/>
                  <w:r w:rsidRPr="00D272FE">
                    <w:rPr>
                      <w:rFonts w:ascii="Times New Roman" w:eastAsia="Times New Roman" w:hAnsi="Times New Roman" w:cs="Times New Roman"/>
                      <w:sz w:val="24"/>
                      <w:szCs w:val="24"/>
                    </w:rPr>
                    <w:t xml:space="preserve"> benzoate and 0.9995 &amp; 0.9999 for </w:t>
                  </w:r>
                  <w:proofErr w:type="spellStart"/>
                  <w:r w:rsidRPr="00D272FE">
                    <w:rPr>
                      <w:rFonts w:ascii="Times New Roman" w:eastAsia="Times New Roman" w:hAnsi="Times New Roman" w:cs="Times New Roman"/>
                      <w:sz w:val="24"/>
                      <w:szCs w:val="24"/>
                    </w:rPr>
                    <w:t>pioglitazone</w:t>
                  </w:r>
                  <w:proofErr w:type="spellEnd"/>
                  <w:r w:rsidRPr="00D272FE">
                    <w:rPr>
                      <w:rFonts w:ascii="Times New Roman" w:eastAsia="Times New Roman" w:hAnsi="Times New Roman" w:cs="Times New Roman"/>
                      <w:sz w:val="24"/>
                      <w:szCs w:val="24"/>
                    </w:rPr>
                    <w:t xml:space="preserve"> hydrochloride at 224 and 268 nm, respectively for Method A. For method B, correlation coefficients were 0.9997 &amp; 0.9999 for </w:t>
                  </w:r>
                  <w:proofErr w:type="spellStart"/>
                  <w:r w:rsidRPr="00D272FE">
                    <w:rPr>
                      <w:rFonts w:ascii="Times New Roman" w:eastAsia="Times New Roman" w:hAnsi="Times New Roman" w:cs="Times New Roman"/>
                      <w:sz w:val="24"/>
                      <w:szCs w:val="24"/>
                    </w:rPr>
                    <w:t>alogliptin</w:t>
                  </w:r>
                  <w:proofErr w:type="spellEnd"/>
                  <w:r w:rsidRPr="00D272FE">
                    <w:rPr>
                      <w:rFonts w:ascii="Times New Roman" w:eastAsia="Times New Roman" w:hAnsi="Times New Roman" w:cs="Times New Roman"/>
                      <w:sz w:val="24"/>
                      <w:szCs w:val="24"/>
                    </w:rPr>
                    <w:t xml:space="preserve"> benzoate and 0.9995 &amp; 0.9999 for </w:t>
                  </w:r>
                  <w:proofErr w:type="spellStart"/>
                  <w:r w:rsidRPr="00D272FE">
                    <w:rPr>
                      <w:rFonts w:ascii="Times New Roman" w:eastAsia="Times New Roman" w:hAnsi="Times New Roman" w:cs="Times New Roman"/>
                      <w:sz w:val="24"/>
                      <w:szCs w:val="24"/>
                    </w:rPr>
                    <w:t>pioglitazone</w:t>
                  </w:r>
                  <w:proofErr w:type="spellEnd"/>
                  <w:r w:rsidRPr="00D272FE">
                    <w:rPr>
                      <w:rFonts w:ascii="Times New Roman" w:eastAsia="Times New Roman" w:hAnsi="Times New Roman" w:cs="Times New Roman"/>
                      <w:sz w:val="24"/>
                      <w:szCs w:val="24"/>
                    </w:rPr>
                    <w:t xml:space="preserve"> hydrochloride at 224 and 279 nm, respectively. The % RSD of repeatability of measurement, intra-day and inter-day precision of the methods were found to be less than 2 for both the method A and B. LOD &amp; LOQ of both the drugs for method A and B was calculated which proved the sensitivity of the method. The accuracy ranged between 97-102 for method A and B. No interference was observed from pharmaceutical </w:t>
                  </w:r>
                  <w:proofErr w:type="spellStart"/>
                  <w:r w:rsidRPr="00D272FE">
                    <w:rPr>
                      <w:rFonts w:ascii="Times New Roman" w:eastAsia="Times New Roman" w:hAnsi="Times New Roman" w:cs="Times New Roman"/>
                      <w:sz w:val="24"/>
                      <w:szCs w:val="24"/>
                    </w:rPr>
                    <w:t>excipients</w:t>
                  </w:r>
                  <w:proofErr w:type="spellEnd"/>
                  <w:r w:rsidRPr="00D272FE">
                    <w:rPr>
                      <w:rFonts w:ascii="Times New Roman" w:eastAsia="Times New Roman" w:hAnsi="Times New Roman" w:cs="Times New Roman"/>
                      <w:sz w:val="24"/>
                      <w:szCs w:val="24"/>
                    </w:rPr>
                    <w:t xml:space="preserve"> used in the formulation. Both methods are simple, sensitive, accurate and precise and have been applied to the simultaneous estimation of </w:t>
                  </w:r>
                  <w:proofErr w:type="spellStart"/>
                  <w:r w:rsidRPr="00D272FE">
                    <w:rPr>
                      <w:rFonts w:ascii="Times New Roman" w:eastAsia="Times New Roman" w:hAnsi="Times New Roman" w:cs="Times New Roman"/>
                      <w:sz w:val="24"/>
                      <w:szCs w:val="24"/>
                    </w:rPr>
                    <w:t>alogliptin</w:t>
                  </w:r>
                  <w:proofErr w:type="spellEnd"/>
                  <w:r w:rsidRPr="00D272FE">
                    <w:rPr>
                      <w:rFonts w:ascii="Times New Roman" w:eastAsia="Times New Roman" w:hAnsi="Times New Roman" w:cs="Times New Roman"/>
                      <w:sz w:val="24"/>
                      <w:szCs w:val="24"/>
                    </w:rPr>
                    <w:t xml:space="preserve"> benzoate and </w:t>
                  </w:r>
                  <w:proofErr w:type="spellStart"/>
                  <w:r w:rsidRPr="00D272FE">
                    <w:rPr>
                      <w:rFonts w:ascii="Times New Roman" w:eastAsia="Times New Roman" w:hAnsi="Times New Roman" w:cs="Times New Roman"/>
                      <w:sz w:val="24"/>
                      <w:szCs w:val="24"/>
                    </w:rPr>
                    <w:t>pioglitazone</w:t>
                  </w:r>
                  <w:proofErr w:type="spellEnd"/>
                  <w:r w:rsidRPr="00D272FE">
                    <w:rPr>
                      <w:rFonts w:ascii="Times New Roman" w:eastAsia="Times New Roman" w:hAnsi="Times New Roman" w:cs="Times New Roman"/>
                      <w:sz w:val="24"/>
                      <w:szCs w:val="24"/>
                    </w:rPr>
                    <w:t xml:space="preserve"> hydrochloride in combined tablet formulation and also suitable for routine quality control applications. </w:t>
                  </w:r>
                </w:p>
              </w:tc>
            </w:tr>
            <w:tr w:rsidR="00D272FE" w:rsidRPr="00D272FE">
              <w:trPr>
                <w:tblCellSpacing w:w="15" w:type="dxa"/>
              </w:trPr>
              <w:tc>
                <w:tcPr>
                  <w:tcW w:w="0" w:type="auto"/>
                  <w:hideMark/>
                </w:tcPr>
                <w:p w:rsidR="00D272FE" w:rsidRPr="00D272FE" w:rsidRDefault="00D272FE" w:rsidP="00D272FE">
                  <w:pPr>
                    <w:spacing w:after="0" w:line="240" w:lineRule="auto"/>
                    <w:rPr>
                      <w:rFonts w:ascii="Times New Roman" w:eastAsia="Times New Roman" w:hAnsi="Times New Roman" w:cs="Times New Roman"/>
                      <w:sz w:val="24"/>
                      <w:szCs w:val="24"/>
                    </w:rPr>
                  </w:pPr>
                  <w:r w:rsidRPr="00D272FE">
                    <w:rPr>
                      <w:rFonts w:ascii="Times New Roman" w:eastAsia="Times New Roman" w:hAnsi="Times New Roman" w:cs="Times New Roman"/>
                      <w:sz w:val="24"/>
                      <w:szCs w:val="24"/>
                    </w:rPr>
                    <w:t xml:space="preserve">Keyword: </w:t>
                  </w:r>
                </w:p>
              </w:tc>
              <w:tc>
                <w:tcPr>
                  <w:tcW w:w="0" w:type="auto"/>
                  <w:hideMark/>
                </w:tcPr>
                <w:p w:rsidR="00D272FE" w:rsidRPr="00D272FE" w:rsidRDefault="00D272FE" w:rsidP="00D272FE">
                  <w:pPr>
                    <w:spacing w:after="0" w:line="240" w:lineRule="auto"/>
                    <w:rPr>
                      <w:rFonts w:ascii="Times New Roman" w:eastAsia="Times New Roman" w:hAnsi="Times New Roman" w:cs="Times New Roman"/>
                      <w:sz w:val="24"/>
                      <w:szCs w:val="24"/>
                    </w:rPr>
                  </w:pPr>
                  <w:r w:rsidRPr="00D272FE">
                    <w:rPr>
                      <w:rFonts w:ascii="Times New Roman" w:eastAsia="Times New Roman" w:hAnsi="Times New Roman" w:cs="Times New Roman"/>
                      <w:sz w:val="24"/>
                      <w:szCs w:val="24"/>
                    </w:rPr>
                    <w:t xml:space="preserve">UV </w:t>
                  </w:r>
                  <w:proofErr w:type="spellStart"/>
                  <w:r w:rsidRPr="00D272FE">
                    <w:rPr>
                      <w:rFonts w:ascii="Times New Roman" w:eastAsia="Times New Roman" w:hAnsi="Times New Roman" w:cs="Times New Roman"/>
                      <w:sz w:val="24"/>
                      <w:szCs w:val="24"/>
                    </w:rPr>
                    <w:t>Spectrophotometry</w:t>
                  </w:r>
                  <w:proofErr w:type="spellEnd"/>
                  <w:r w:rsidRPr="00D272FE">
                    <w:rPr>
                      <w:rFonts w:ascii="Times New Roman" w:eastAsia="Times New Roman" w:hAnsi="Times New Roman" w:cs="Times New Roman"/>
                      <w:sz w:val="24"/>
                      <w:szCs w:val="24"/>
                    </w:rPr>
                    <w:t xml:space="preserve">, </w:t>
                  </w:r>
                  <w:proofErr w:type="spellStart"/>
                  <w:r w:rsidRPr="00D272FE">
                    <w:rPr>
                      <w:rFonts w:ascii="Times New Roman" w:eastAsia="Times New Roman" w:hAnsi="Times New Roman" w:cs="Times New Roman"/>
                      <w:sz w:val="24"/>
                      <w:szCs w:val="24"/>
                    </w:rPr>
                    <w:t>Alogliptin</w:t>
                  </w:r>
                  <w:proofErr w:type="spellEnd"/>
                  <w:r w:rsidRPr="00D272FE">
                    <w:rPr>
                      <w:rFonts w:ascii="Times New Roman" w:eastAsia="Times New Roman" w:hAnsi="Times New Roman" w:cs="Times New Roman"/>
                      <w:sz w:val="24"/>
                      <w:szCs w:val="24"/>
                    </w:rPr>
                    <w:t xml:space="preserve"> benzoate, </w:t>
                  </w:r>
                  <w:proofErr w:type="spellStart"/>
                  <w:r w:rsidRPr="00D272FE">
                    <w:rPr>
                      <w:rFonts w:ascii="Times New Roman" w:eastAsia="Times New Roman" w:hAnsi="Times New Roman" w:cs="Times New Roman"/>
                      <w:sz w:val="24"/>
                      <w:szCs w:val="24"/>
                    </w:rPr>
                    <w:t>Pioglitazone</w:t>
                  </w:r>
                  <w:proofErr w:type="spellEnd"/>
                  <w:r w:rsidRPr="00D272FE">
                    <w:rPr>
                      <w:rFonts w:ascii="Times New Roman" w:eastAsia="Times New Roman" w:hAnsi="Times New Roman" w:cs="Times New Roman"/>
                      <w:sz w:val="24"/>
                      <w:szCs w:val="24"/>
                    </w:rPr>
                    <w:t xml:space="preserve"> hydrochloride, Tablet dosage form, Simultaneous equation method, Absorbance ratio method </w:t>
                  </w:r>
                </w:p>
              </w:tc>
            </w:tr>
            <w:tr w:rsidR="00D272FE" w:rsidRPr="00D272FE">
              <w:trPr>
                <w:tblCellSpacing w:w="15" w:type="dxa"/>
              </w:trPr>
              <w:tc>
                <w:tcPr>
                  <w:tcW w:w="0" w:type="auto"/>
                  <w:hideMark/>
                </w:tcPr>
                <w:p w:rsidR="00D272FE" w:rsidRPr="00D272FE" w:rsidRDefault="00D272FE" w:rsidP="00D272FE">
                  <w:pPr>
                    <w:spacing w:after="0" w:line="240" w:lineRule="auto"/>
                    <w:rPr>
                      <w:rFonts w:ascii="Times New Roman" w:eastAsia="Times New Roman" w:hAnsi="Times New Roman" w:cs="Times New Roman"/>
                      <w:sz w:val="24"/>
                      <w:szCs w:val="24"/>
                    </w:rPr>
                  </w:pPr>
                  <w:r w:rsidRPr="00D272FE">
                    <w:rPr>
                      <w:rFonts w:ascii="Times New Roman" w:eastAsia="Times New Roman" w:hAnsi="Times New Roman" w:cs="Times New Roman"/>
                      <w:sz w:val="24"/>
                      <w:szCs w:val="24"/>
                    </w:rPr>
                    <w:t xml:space="preserve">DOI: </w:t>
                  </w:r>
                </w:p>
              </w:tc>
              <w:tc>
                <w:tcPr>
                  <w:tcW w:w="0" w:type="auto"/>
                  <w:hideMark/>
                </w:tcPr>
                <w:p w:rsidR="00D272FE" w:rsidRPr="00D272FE" w:rsidRDefault="00D272FE" w:rsidP="00D272FE">
                  <w:pPr>
                    <w:spacing w:after="0" w:line="240" w:lineRule="auto"/>
                    <w:rPr>
                      <w:rFonts w:ascii="Times New Roman" w:eastAsia="Times New Roman" w:hAnsi="Times New Roman" w:cs="Times New Roman"/>
                      <w:sz w:val="24"/>
                      <w:szCs w:val="24"/>
                    </w:rPr>
                  </w:pPr>
                  <w:hyperlink r:id="rId4" w:tgtFrame="/" w:history="1">
                    <w:r w:rsidRPr="00D272FE">
                      <w:rPr>
                        <w:rFonts w:ascii="Times New Roman" w:eastAsia="Times New Roman" w:hAnsi="Times New Roman" w:cs="Times New Roman"/>
                        <w:color w:val="0000FF"/>
                        <w:sz w:val="24"/>
                        <w:szCs w:val="24"/>
                        <w:u w:val="single"/>
                      </w:rPr>
                      <w:t>https://doi.org/10.31838/ijpr/2020.12.04.497</w:t>
                    </w:r>
                  </w:hyperlink>
                </w:p>
              </w:tc>
            </w:tr>
          </w:tbl>
          <w:p w:rsidR="00D272FE" w:rsidRPr="00D272FE" w:rsidRDefault="00D272FE" w:rsidP="00D272FE">
            <w:pPr>
              <w:spacing w:after="0" w:line="240" w:lineRule="auto"/>
              <w:rPr>
                <w:rFonts w:ascii="Times New Roman" w:eastAsia="Times New Roman" w:hAnsi="Times New Roman" w:cs="Times New Roman"/>
                <w:sz w:val="24"/>
                <w:szCs w:val="24"/>
              </w:rPr>
            </w:pPr>
          </w:p>
        </w:tc>
      </w:tr>
    </w:tbl>
    <w:p w:rsidR="00000000" w:rsidRDefault="005567B8">
      <w:r>
        <w:t xml:space="preserve">FULL TEXT:   </w:t>
      </w:r>
      <w:hyperlink r:id="rId5" w:history="1">
        <w:r w:rsidRPr="00E0450E">
          <w:rPr>
            <w:rStyle w:val="Hyperlink"/>
          </w:rPr>
          <w:t>http://www.ijpronline.com/ViewArticleDetail.aspx?ID=18454</w:t>
        </w:r>
      </w:hyperlink>
    </w:p>
    <w:p w:rsidR="005567B8" w:rsidRDefault="005567B8"/>
    <w:sectPr w:rsidR="005567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272FE"/>
    <w:rsid w:val="003876A6"/>
    <w:rsid w:val="005567B8"/>
    <w:rsid w:val="00D272F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72FE"/>
    <w:rPr>
      <w:color w:val="0000FF"/>
      <w:u w:val="single"/>
    </w:rPr>
  </w:style>
</w:styles>
</file>

<file path=word/webSettings.xml><?xml version="1.0" encoding="utf-8"?>
<w:webSettings xmlns:r="http://schemas.openxmlformats.org/officeDocument/2006/relationships" xmlns:w="http://schemas.openxmlformats.org/wordprocessingml/2006/main">
  <w:divs>
    <w:div w:id="24025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jpronline.com/ViewArticleDetail.aspx?ID=18454" TargetMode="External"/><Relationship Id="rId4" Type="http://schemas.openxmlformats.org/officeDocument/2006/relationships/hyperlink" Target="https://doi.org/10.31838/ijpr/2020.12.04.4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2021-09-20T10:07:00Z</dcterms:created>
  <dcterms:modified xsi:type="dcterms:W3CDTF">2021-09-20T10:12:00Z</dcterms:modified>
</cp:coreProperties>
</file>