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9C" w:rsidRPr="0053579C" w:rsidRDefault="0053579C" w:rsidP="0053579C">
      <w:pPr>
        <w:spacing w:before="100" w:beforeAutospacing="1" w:after="100" w:afterAutospacing="1" w:line="240" w:lineRule="auto"/>
        <w:outlineLvl w:val="0"/>
        <w:rPr>
          <w:rFonts w:ascii="Droid Serif" w:eastAsia="Times New Roman" w:hAnsi="Droid Serif" w:cs="Arial"/>
          <w:b/>
          <w:bCs/>
          <w:color w:val="333333"/>
          <w:kern w:val="36"/>
          <w:sz w:val="63"/>
          <w:szCs w:val="63"/>
        </w:rPr>
      </w:pPr>
      <w:r w:rsidRPr="0053579C">
        <w:rPr>
          <w:rFonts w:ascii="Droid Serif" w:eastAsia="Times New Roman" w:hAnsi="Droid Serif" w:cs="Arial"/>
          <w:b/>
          <w:bCs/>
          <w:color w:val="333333"/>
          <w:kern w:val="36"/>
          <w:sz w:val="63"/>
        </w:rPr>
        <w:t xml:space="preserve">Oral bioavailability enhancement of </w:t>
      </w:r>
      <w:proofErr w:type="spellStart"/>
      <w:r w:rsidRPr="0053579C">
        <w:rPr>
          <w:rFonts w:ascii="Droid Serif" w:eastAsia="Times New Roman" w:hAnsi="Droid Serif" w:cs="Arial"/>
          <w:b/>
          <w:bCs/>
          <w:color w:val="333333"/>
          <w:kern w:val="36"/>
          <w:sz w:val="63"/>
        </w:rPr>
        <w:t>raloxifene</w:t>
      </w:r>
      <w:proofErr w:type="spellEnd"/>
      <w:r w:rsidRPr="0053579C">
        <w:rPr>
          <w:rFonts w:ascii="Droid Serif" w:eastAsia="Times New Roman" w:hAnsi="Droid Serif" w:cs="Arial"/>
          <w:b/>
          <w:bCs/>
          <w:color w:val="333333"/>
          <w:kern w:val="36"/>
          <w:sz w:val="63"/>
        </w:rPr>
        <w:t xml:space="preserve"> by developing </w:t>
      </w:r>
      <w:proofErr w:type="spellStart"/>
      <w:r w:rsidRPr="0053579C">
        <w:rPr>
          <w:rFonts w:ascii="Droid Serif" w:eastAsia="Times New Roman" w:hAnsi="Droid Serif" w:cs="Arial"/>
          <w:b/>
          <w:bCs/>
          <w:color w:val="333333"/>
          <w:kern w:val="36"/>
          <w:sz w:val="63"/>
        </w:rPr>
        <w:t>microemulsion</w:t>
      </w:r>
      <w:proofErr w:type="spellEnd"/>
      <w:r w:rsidRPr="0053579C">
        <w:rPr>
          <w:rFonts w:ascii="Droid Serif" w:eastAsia="Times New Roman" w:hAnsi="Droid Serif" w:cs="Arial"/>
          <w:b/>
          <w:bCs/>
          <w:color w:val="333333"/>
          <w:kern w:val="36"/>
          <w:sz w:val="63"/>
        </w:rPr>
        <w:t xml:space="preserve"> using D-optimal mixture design: optimization and </w:t>
      </w:r>
      <w:r w:rsidRPr="0053579C">
        <w:rPr>
          <w:rFonts w:ascii="Droid Serif" w:eastAsia="Times New Roman" w:hAnsi="Droid Serif" w:cs="Arial"/>
          <w:b/>
          <w:bCs/>
          <w:i/>
          <w:iCs/>
          <w:color w:val="333333"/>
          <w:kern w:val="36"/>
          <w:sz w:val="63"/>
        </w:rPr>
        <w:t>in-</w:t>
      </w:r>
      <w:proofErr w:type="spellStart"/>
      <w:r w:rsidRPr="0053579C">
        <w:rPr>
          <w:rFonts w:ascii="Droid Serif" w:eastAsia="Times New Roman" w:hAnsi="Droid Serif" w:cs="Arial"/>
          <w:b/>
          <w:bCs/>
          <w:i/>
          <w:iCs/>
          <w:color w:val="333333"/>
          <w:kern w:val="36"/>
          <w:sz w:val="63"/>
        </w:rPr>
        <w:t>vivo</w:t>
      </w:r>
      <w:r w:rsidRPr="0053579C">
        <w:rPr>
          <w:rFonts w:ascii="Droid Serif" w:eastAsia="Times New Roman" w:hAnsi="Droid Serif" w:cs="Arial"/>
          <w:b/>
          <w:bCs/>
          <w:color w:val="333333"/>
          <w:kern w:val="36"/>
          <w:sz w:val="63"/>
        </w:rPr>
        <w:t>pharmacokinetic</w:t>
      </w:r>
      <w:proofErr w:type="spellEnd"/>
      <w:r w:rsidRPr="0053579C">
        <w:rPr>
          <w:rFonts w:ascii="Droid Serif" w:eastAsia="Times New Roman" w:hAnsi="Droid Serif" w:cs="Arial"/>
          <w:b/>
          <w:bCs/>
          <w:color w:val="333333"/>
          <w:kern w:val="36"/>
          <w:sz w:val="63"/>
        </w:rPr>
        <w:t xml:space="preserve"> study</w:t>
      </w:r>
    </w:p>
    <w:p w:rsidR="0053579C" w:rsidRPr="0053579C" w:rsidRDefault="0053579C" w:rsidP="0053579C">
      <w:pPr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hyperlink r:id="rId4" w:history="1">
        <w:proofErr w:type="spellStart"/>
        <w:r w:rsidRPr="0053579C">
          <w:rPr>
            <w:rFonts w:ascii="Arial" w:eastAsia="Times New Roman" w:hAnsi="Arial" w:cs="Arial"/>
            <w:b/>
            <w:bCs/>
            <w:color w:val="10147E"/>
            <w:sz w:val="28"/>
            <w:u w:val="single"/>
          </w:rPr>
          <w:t>Nirmal</w:t>
        </w:r>
        <w:proofErr w:type="spellEnd"/>
        <w:r w:rsidRPr="0053579C">
          <w:rPr>
            <w:rFonts w:ascii="Arial" w:eastAsia="Times New Roman" w:hAnsi="Arial" w:cs="Arial"/>
            <w:b/>
            <w:bCs/>
            <w:color w:val="10147E"/>
            <w:sz w:val="28"/>
            <w:u w:val="single"/>
          </w:rPr>
          <w:t xml:space="preserve"> </w:t>
        </w:r>
        <w:proofErr w:type="spellStart"/>
        <w:r w:rsidRPr="0053579C">
          <w:rPr>
            <w:rFonts w:ascii="Arial" w:eastAsia="Times New Roman" w:hAnsi="Arial" w:cs="Arial"/>
            <w:b/>
            <w:bCs/>
            <w:color w:val="10147E"/>
            <w:sz w:val="28"/>
            <w:u w:val="single"/>
          </w:rPr>
          <w:t>Shah</w:t>
        </w:r>
      </w:hyperlink>
      <w:r w:rsidRPr="0053579C">
        <w:rPr>
          <w:rFonts w:ascii="Arial" w:eastAsia="Times New Roman" w:hAnsi="Arial" w:cs="Arial"/>
          <w:color w:val="333333"/>
          <w:sz w:val="30"/>
        </w:rPr>
        <w:t>,</w:t>
      </w:r>
      <w:hyperlink r:id="rId5" w:history="1">
        <w:r w:rsidRPr="0053579C">
          <w:rPr>
            <w:rFonts w:ascii="Arial" w:eastAsia="Times New Roman" w:hAnsi="Arial" w:cs="Arial"/>
            <w:color w:val="10147E"/>
            <w:sz w:val="28"/>
            <w:u w:val="single"/>
          </w:rPr>
          <w:t>Avinashkumar</w:t>
        </w:r>
        <w:proofErr w:type="spellEnd"/>
        <w:r w:rsidRPr="0053579C">
          <w:rPr>
            <w:rFonts w:ascii="Arial" w:eastAsia="Times New Roman" w:hAnsi="Arial" w:cs="Arial"/>
            <w:color w:val="10147E"/>
            <w:sz w:val="28"/>
            <w:u w:val="single"/>
          </w:rPr>
          <w:t xml:space="preserve"> </w:t>
        </w:r>
        <w:proofErr w:type="spellStart"/>
        <w:r w:rsidRPr="0053579C">
          <w:rPr>
            <w:rFonts w:ascii="Arial" w:eastAsia="Times New Roman" w:hAnsi="Arial" w:cs="Arial"/>
            <w:color w:val="10147E"/>
            <w:sz w:val="28"/>
            <w:u w:val="single"/>
          </w:rPr>
          <w:t>Seth</w:t>
        </w:r>
      </w:hyperlink>
      <w:r w:rsidRPr="0053579C">
        <w:rPr>
          <w:rFonts w:ascii="Arial" w:eastAsia="Times New Roman" w:hAnsi="Arial" w:cs="Arial"/>
          <w:color w:val="333333"/>
          <w:sz w:val="30"/>
        </w:rPr>
        <w:t>,</w:t>
      </w:r>
      <w:hyperlink r:id="rId6" w:history="1">
        <w:r w:rsidRPr="0053579C">
          <w:rPr>
            <w:rFonts w:ascii="Arial" w:eastAsia="Times New Roman" w:hAnsi="Arial" w:cs="Arial"/>
            <w:color w:val="10147E"/>
            <w:sz w:val="28"/>
            <w:u w:val="single"/>
          </w:rPr>
          <w:t>R</w:t>
        </w:r>
        <w:proofErr w:type="spellEnd"/>
        <w:r w:rsidRPr="0053579C">
          <w:rPr>
            <w:rFonts w:ascii="Arial" w:eastAsia="Times New Roman" w:hAnsi="Arial" w:cs="Arial"/>
            <w:color w:val="10147E"/>
            <w:sz w:val="28"/>
            <w:u w:val="single"/>
          </w:rPr>
          <w:t xml:space="preserve">. </w:t>
        </w:r>
        <w:proofErr w:type="spellStart"/>
        <w:r w:rsidRPr="0053579C">
          <w:rPr>
            <w:rFonts w:ascii="Arial" w:eastAsia="Times New Roman" w:hAnsi="Arial" w:cs="Arial"/>
            <w:color w:val="10147E"/>
            <w:sz w:val="28"/>
            <w:u w:val="single"/>
          </w:rPr>
          <w:t>Balaraman</w:t>
        </w:r>
      </w:hyperlink>
      <w:r w:rsidRPr="0053579C">
        <w:rPr>
          <w:rFonts w:ascii="Arial" w:eastAsia="Times New Roman" w:hAnsi="Arial" w:cs="Arial"/>
          <w:color w:val="333333"/>
          <w:sz w:val="30"/>
        </w:rPr>
        <w:t>,</w:t>
      </w:r>
      <w:hyperlink r:id="rId7" w:history="1">
        <w:r w:rsidRPr="0053579C">
          <w:rPr>
            <w:rFonts w:ascii="Arial" w:eastAsia="Times New Roman" w:hAnsi="Arial" w:cs="Arial"/>
            <w:color w:val="10147E"/>
            <w:sz w:val="28"/>
            <w:u w:val="single"/>
          </w:rPr>
          <w:t>Girish</w:t>
        </w:r>
        <w:proofErr w:type="spellEnd"/>
        <w:r w:rsidRPr="0053579C">
          <w:rPr>
            <w:rFonts w:ascii="Arial" w:eastAsia="Times New Roman" w:hAnsi="Arial" w:cs="Arial"/>
            <w:color w:val="10147E"/>
            <w:sz w:val="28"/>
            <w:u w:val="single"/>
          </w:rPr>
          <w:t xml:space="preserve"> </w:t>
        </w:r>
        <w:proofErr w:type="spellStart"/>
        <w:r w:rsidRPr="0053579C">
          <w:rPr>
            <w:rFonts w:ascii="Arial" w:eastAsia="Times New Roman" w:hAnsi="Arial" w:cs="Arial"/>
            <w:color w:val="10147E"/>
            <w:sz w:val="28"/>
            <w:u w:val="single"/>
          </w:rPr>
          <w:t>Sailor</w:t>
        </w:r>
      </w:hyperlink>
      <w:r w:rsidRPr="0053579C">
        <w:rPr>
          <w:rFonts w:ascii="Arial" w:eastAsia="Times New Roman" w:hAnsi="Arial" w:cs="Arial"/>
          <w:color w:val="333333"/>
          <w:sz w:val="30"/>
        </w:rPr>
        <w:t>,</w:t>
      </w:r>
      <w:hyperlink r:id="rId8" w:history="1">
        <w:r w:rsidRPr="0053579C">
          <w:rPr>
            <w:rFonts w:ascii="Arial" w:eastAsia="Times New Roman" w:hAnsi="Arial" w:cs="Arial"/>
            <w:color w:val="10147E"/>
            <w:sz w:val="28"/>
            <w:u w:val="single"/>
          </w:rPr>
          <w:t>Ankur</w:t>
        </w:r>
        <w:proofErr w:type="spellEnd"/>
        <w:r w:rsidRPr="0053579C">
          <w:rPr>
            <w:rFonts w:ascii="Arial" w:eastAsia="Times New Roman" w:hAnsi="Arial" w:cs="Arial"/>
            <w:color w:val="10147E"/>
            <w:sz w:val="28"/>
            <w:u w:val="single"/>
          </w:rPr>
          <w:t xml:space="preserve"> </w:t>
        </w:r>
        <w:proofErr w:type="spellStart"/>
        <w:r w:rsidRPr="0053579C">
          <w:rPr>
            <w:rFonts w:ascii="Arial" w:eastAsia="Times New Roman" w:hAnsi="Arial" w:cs="Arial"/>
            <w:color w:val="10147E"/>
            <w:sz w:val="28"/>
            <w:u w:val="single"/>
          </w:rPr>
          <w:t>Javia</w:t>
        </w:r>
        <w:proofErr w:type="spellEnd"/>
      </w:hyperlink>
      <w:r w:rsidRPr="0053579C">
        <w:rPr>
          <w:rFonts w:ascii="Arial" w:eastAsia="Times New Roman" w:hAnsi="Arial" w:cs="Arial"/>
          <w:color w:val="333333"/>
          <w:sz w:val="30"/>
        </w:rPr>
        <w:t> &amp;</w:t>
      </w:r>
      <w:proofErr w:type="spellStart"/>
      <w:r w:rsidRPr="0053579C">
        <w:rPr>
          <w:rFonts w:ascii="Arial" w:eastAsia="Times New Roman" w:hAnsi="Arial" w:cs="Arial"/>
          <w:color w:val="333333"/>
          <w:sz w:val="30"/>
        </w:rPr>
        <w:fldChar w:fldCharType="begin"/>
      </w:r>
      <w:r w:rsidRPr="0053579C">
        <w:rPr>
          <w:rFonts w:ascii="Arial" w:eastAsia="Times New Roman" w:hAnsi="Arial" w:cs="Arial"/>
          <w:color w:val="333333"/>
          <w:sz w:val="30"/>
        </w:rPr>
        <w:instrText xml:space="preserve"> HYPERLINK "https://www.tandfonline.com/author/Gohil%2C+Dipti" </w:instrText>
      </w:r>
      <w:r w:rsidRPr="0053579C">
        <w:rPr>
          <w:rFonts w:ascii="Arial" w:eastAsia="Times New Roman" w:hAnsi="Arial" w:cs="Arial"/>
          <w:color w:val="333333"/>
          <w:sz w:val="30"/>
        </w:rPr>
        <w:fldChar w:fldCharType="separate"/>
      </w:r>
      <w:r w:rsidRPr="0053579C">
        <w:rPr>
          <w:rFonts w:ascii="Arial" w:eastAsia="Times New Roman" w:hAnsi="Arial" w:cs="Arial"/>
          <w:color w:val="10147E"/>
          <w:sz w:val="28"/>
          <w:u w:val="single"/>
        </w:rPr>
        <w:t>Dipti</w:t>
      </w:r>
      <w:proofErr w:type="spellEnd"/>
      <w:r w:rsidRPr="0053579C">
        <w:rPr>
          <w:rFonts w:ascii="Arial" w:eastAsia="Times New Roman" w:hAnsi="Arial" w:cs="Arial"/>
          <w:color w:val="10147E"/>
          <w:sz w:val="28"/>
          <w:u w:val="single"/>
        </w:rPr>
        <w:t xml:space="preserve"> </w:t>
      </w:r>
      <w:proofErr w:type="spellStart"/>
      <w:r w:rsidRPr="0053579C">
        <w:rPr>
          <w:rFonts w:ascii="Arial" w:eastAsia="Times New Roman" w:hAnsi="Arial" w:cs="Arial"/>
          <w:color w:val="10147E"/>
          <w:sz w:val="28"/>
          <w:u w:val="single"/>
        </w:rPr>
        <w:t>Gohil</w:t>
      </w:r>
      <w:proofErr w:type="spellEnd"/>
      <w:r w:rsidRPr="0053579C">
        <w:rPr>
          <w:rFonts w:ascii="Arial" w:eastAsia="Times New Roman" w:hAnsi="Arial" w:cs="Arial"/>
          <w:color w:val="333333"/>
          <w:sz w:val="30"/>
        </w:rPr>
        <w:fldChar w:fldCharType="end"/>
      </w:r>
    </w:p>
    <w:p w:rsidR="0053579C" w:rsidRPr="0053579C" w:rsidRDefault="0053579C" w:rsidP="0053579C">
      <w:pPr>
        <w:spacing w:after="0" w:line="389" w:lineRule="atLeast"/>
        <w:rPr>
          <w:rFonts w:ascii="Arial" w:eastAsia="Times New Roman" w:hAnsi="Arial" w:cs="Arial"/>
          <w:color w:val="777777"/>
          <w:sz w:val="23"/>
          <w:szCs w:val="23"/>
        </w:rPr>
      </w:pPr>
      <w:r w:rsidRPr="0053579C">
        <w:rPr>
          <w:rFonts w:ascii="Arial" w:eastAsia="Times New Roman" w:hAnsi="Arial" w:cs="Arial"/>
          <w:color w:val="777777"/>
          <w:sz w:val="23"/>
          <w:szCs w:val="23"/>
        </w:rPr>
        <w:t>Pages 687-696 | Received 29 Aug 2017, Accepted 20 Nov 2017, Accepted author version posted online: 23 Nov 2017, Published online: 04 Dec 2017</w:t>
      </w:r>
    </w:p>
    <w:p w:rsidR="0053579C" w:rsidRDefault="0053579C" w:rsidP="0053579C"/>
    <w:p w:rsidR="0053579C" w:rsidRPr="0053579C" w:rsidRDefault="0053579C" w:rsidP="0053579C">
      <w:pPr>
        <w:spacing w:after="0" w:line="240" w:lineRule="auto"/>
        <w:rPr>
          <w:rFonts w:ascii="Droid Serif" w:eastAsia="Times New Roman" w:hAnsi="Droid Serif" w:cs="Arial"/>
          <w:b/>
          <w:bCs/>
          <w:color w:val="333333"/>
          <w:sz w:val="42"/>
          <w:szCs w:val="42"/>
        </w:rPr>
      </w:pPr>
      <w:r w:rsidRPr="0053579C">
        <w:rPr>
          <w:rFonts w:ascii="Droid Serif" w:eastAsia="Times New Roman" w:hAnsi="Droid Serif" w:cs="Arial"/>
          <w:b/>
          <w:bCs/>
          <w:color w:val="333333"/>
          <w:sz w:val="42"/>
          <w:szCs w:val="42"/>
        </w:rPr>
        <w:t>Abstract</w:t>
      </w:r>
    </w:p>
    <w:p w:rsidR="0053579C" w:rsidRPr="0053579C" w:rsidRDefault="0053579C" w:rsidP="0053579C">
      <w:pPr>
        <w:spacing w:before="240" w:after="240" w:line="240" w:lineRule="auto"/>
        <w:rPr>
          <w:rFonts w:ascii="Arial" w:eastAsia="Times New Roman" w:hAnsi="Arial" w:cs="Arial"/>
          <w:color w:val="333333"/>
          <w:sz w:val="33"/>
          <w:szCs w:val="33"/>
        </w:rPr>
      </w:pPr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The objective of this work was to utilize a potential of </w:t>
      </w:r>
      <w:proofErr w:type="spellStart"/>
      <w:r w:rsidRPr="0053579C">
        <w:rPr>
          <w:rFonts w:ascii="Arial" w:eastAsia="Times New Roman" w:hAnsi="Arial" w:cs="Arial"/>
          <w:color w:val="333333"/>
          <w:sz w:val="33"/>
          <w:szCs w:val="33"/>
        </w:rPr>
        <w:t>microemulsion</w:t>
      </w:r>
      <w:proofErr w:type="spellEnd"/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 for the improvement in oral bioavailability of </w:t>
      </w:r>
      <w:proofErr w:type="spellStart"/>
      <w:r w:rsidRPr="0053579C">
        <w:rPr>
          <w:rFonts w:ascii="Arial" w:eastAsia="Times New Roman" w:hAnsi="Arial" w:cs="Arial"/>
          <w:color w:val="333333"/>
          <w:sz w:val="33"/>
          <w:szCs w:val="33"/>
        </w:rPr>
        <w:t>raloxifene</w:t>
      </w:r>
      <w:proofErr w:type="spellEnd"/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 hydrochloride, a BCS class-II drug with 2% bioavailability. Drug-loaded </w:t>
      </w:r>
      <w:proofErr w:type="spellStart"/>
      <w:r w:rsidRPr="0053579C">
        <w:rPr>
          <w:rFonts w:ascii="Arial" w:eastAsia="Times New Roman" w:hAnsi="Arial" w:cs="Arial"/>
          <w:color w:val="333333"/>
          <w:sz w:val="33"/>
          <w:szCs w:val="33"/>
        </w:rPr>
        <w:t>microemulsion</w:t>
      </w:r>
      <w:proofErr w:type="spellEnd"/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 was prepared by water titration method using </w:t>
      </w:r>
      <w:proofErr w:type="spellStart"/>
      <w:r w:rsidRPr="0053579C">
        <w:rPr>
          <w:rFonts w:ascii="Arial" w:eastAsia="Times New Roman" w:hAnsi="Arial" w:cs="Arial"/>
          <w:color w:val="333333"/>
          <w:sz w:val="33"/>
          <w:szCs w:val="33"/>
        </w:rPr>
        <w:t>Capmul</w:t>
      </w:r>
      <w:proofErr w:type="spellEnd"/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 MCM C8, </w:t>
      </w:r>
      <w:proofErr w:type="spellStart"/>
      <w:r w:rsidRPr="0053579C">
        <w:rPr>
          <w:rFonts w:ascii="Arial" w:eastAsia="Times New Roman" w:hAnsi="Arial" w:cs="Arial"/>
          <w:color w:val="333333"/>
          <w:sz w:val="33"/>
          <w:szCs w:val="33"/>
        </w:rPr>
        <w:t>Tween</w:t>
      </w:r>
      <w:proofErr w:type="spellEnd"/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 20, and Polyethylene glycol 400 as oil, surfactant, and co-surfactant respectively. The pseudo-ternary phase diagram was constructed between oil and surfactants mixture to obtain appropriate components and their concentration ranges that result in large existence area of </w:t>
      </w:r>
      <w:proofErr w:type="spellStart"/>
      <w:r w:rsidRPr="0053579C">
        <w:rPr>
          <w:rFonts w:ascii="Arial" w:eastAsia="Times New Roman" w:hAnsi="Arial" w:cs="Arial"/>
          <w:color w:val="333333"/>
          <w:sz w:val="33"/>
          <w:szCs w:val="33"/>
        </w:rPr>
        <w:t>microemulsion</w:t>
      </w:r>
      <w:proofErr w:type="spellEnd"/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. D-optimal mixture design was utilized as a statistical tool for optimization of </w:t>
      </w:r>
      <w:proofErr w:type="spellStart"/>
      <w:r w:rsidRPr="0053579C">
        <w:rPr>
          <w:rFonts w:ascii="Arial" w:eastAsia="Times New Roman" w:hAnsi="Arial" w:cs="Arial"/>
          <w:color w:val="333333"/>
          <w:sz w:val="33"/>
          <w:szCs w:val="33"/>
        </w:rPr>
        <w:t>microemulsion</w:t>
      </w:r>
      <w:proofErr w:type="spellEnd"/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 considering oil, </w:t>
      </w:r>
      <w:proofErr w:type="spellStart"/>
      <w:r w:rsidRPr="0053579C">
        <w:rPr>
          <w:rFonts w:ascii="Arial" w:eastAsia="Times New Roman" w:hAnsi="Arial" w:cs="Arial"/>
          <w:color w:val="333333"/>
          <w:sz w:val="33"/>
          <w:szCs w:val="33"/>
        </w:rPr>
        <w:t>S</w:t>
      </w:r>
      <w:r w:rsidRPr="0053579C">
        <w:rPr>
          <w:rFonts w:ascii="Arial" w:eastAsia="Times New Roman" w:hAnsi="Arial" w:cs="Arial"/>
          <w:color w:val="333333"/>
          <w:sz w:val="25"/>
          <w:szCs w:val="25"/>
          <w:vertAlign w:val="subscript"/>
        </w:rPr>
        <w:t>mix</w:t>
      </w:r>
      <w:proofErr w:type="spellEnd"/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, and water as independent variables with percentage transmittance and globule size as dependent variables. The optimized formulation showed 100 ± 0.1% transmittance and 17.85 ± 2.78 nm globule size which was identically equal with the predicted values of </w:t>
      </w:r>
      <w:r w:rsidRPr="0053579C">
        <w:rPr>
          <w:rFonts w:ascii="Arial" w:eastAsia="Times New Roman" w:hAnsi="Arial" w:cs="Arial"/>
          <w:color w:val="333333"/>
          <w:sz w:val="33"/>
          <w:szCs w:val="33"/>
        </w:rPr>
        <w:lastRenderedPageBreak/>
        <w:t xml:space="preserve">dependent variables given by the design expert software. The optimized </w:t>
      </w:r>
      <w:proofErr w:type="spellStart"/>
      <w:r w:rsidRPr="0053579C">
        <w:rPr>
          <w:rFonts w:ascii="Arial" w:eastAsia="Times New Roman" w:hAnsi="Arial" w:cs="Arial"/>
          <w:color w:val="333333"/>
          <w:sz w:val="33"/>
          <w:szCs w:val="33"/>
        </w:rPr>
        <w:t>microemulsion</w:t>
      </w:r>
      <w:proofErr w:type="spellEnd"/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 showed pronounced enhancement in release rate compared to plain drug suspension following diffusion controlled release mechanism by the Higuchi model. The formulation showed zeta potential of value −5.88 ± 1.14 mV that imparts good stability to drug loaded </w:t>
      </w:r>
      <w:proofErr w:type="spellStart"/>
      <w:r w:rsidRPr="0053579C">
        <w:rPr>
          <w:rFonts w:ascii="Arial" w:eastAsia="Times New Roman" w:hAnsi="Arial" w:cs="Arial"/>
          <w:color w:val="333333"/>
          <w:sz w:val="33"/>
          <w:szCs w:val="33"/>
        </w:rPr>
        <w:t>microemulsion</w:t>
      </w:r>
      <w:proofErr w:type="spellEnd"/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 dispersion. Surface morphology study with transmission electron microscope showed discrete spherical </w:t>
      </w:r>
      <w:proofErr w:type="spellStart"/>
      <w:r w:rsidRPr="0053579C">
        <w:rPr>
          <w:rFonts w:ascii="Arial" w:eastAsia="Times New Roman" w:hAnsi="Arial" w:cs="Arial"/>
          <w:color w:val="333333"/>
          <w:sz w:val="33"/>
          <w:szCs w:val="33"/>
        </w:rPr>
        <w:t>nano</w:t>
      </w:r>
      <w:proofErr w:type="spellEnd"/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 sized globules with smooth surface. </w:t>
      </w:r>
      <w:r w:rsidRPr="0053579C">
        <w:rPr>
          <w:rFonts w:ascii="Arial" w:eastAsia="Times New Roman" w:hAnsi="Arial" w:cs="Arial"/>
          <w:i/>
          <w:iCs/>
          <w:color w:val="333333"/>
          <w:sz w:val="33"/>
          <w:szCs w:val="33"/>
        </w:rPr>
        <w:t>In-</w:t>
      </w:r>
      <w:proofErr w:type="spellStart"/>
      <w:r w:rsidRPr="0053579C">
        <w:rPr>
          <w:rFonts w:ascii="Arial" w:eastAsia="Times New Roman" w:hAnsi="Arial" w:cs="Arial"/>
          <w:i/>
          <w:iCs/>
          <w:color w:val="333333"/>
          <w:sz w:val="33"/>
          <w:szCs w:val="33"/>
        </w:rPr>
        <w:t>vivo</w:t>
      </w:r>
      <w:r w:rsidRPr="0053579C">
        <w:rPr>
          <w:rFonts w:ascii="Arial" w:eastAsia="Times New Roman" w:hAnsi="Arial" w:cs="Arial"/>
          <w:color w:val="333333"/>
          <w:sz w:val="33"/>
          <w:szCs w:val="33"/>
        </w:rPr>
        <w:t>pharmacokinetic</w:t>
      </w:r>
      <w:proofErr w:type="spellEnd"/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 study of optimized </w:t>
      </w:r>
      <w:proofErr w:type="spellStart"/>
      <w:r w:rsidRPr="0053579C">
        <w:rPr>
          <w:rFonts w:ascii="Arial" w:eastAsia="Times New Roman" w:hAnsi="Arial" w:cs="Arial"/>
          <w:color w:val="333333"/>
          <w:sz w:val="33"/>
          <w:szCs w:val="33"/>
        </w:rPr>
        <w:t>microemulsion</w:t>
      </w:r>
      <w:proofErr w:type="spellEnd"/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 formulation in </w:t>
      </w:r>
      <w:proofErr w:type="spellStart"/>
      <w:r w:rsidRPr="0053579C">
        <w:rPr>
          <w:rFonts w:ascii="Arial" w:eastAsia="Times New Roman" w:hAnsi="Arial" w:cs="Arial"/>
          <w:color w:val="333333"/>
          <w:sz w:val="33"/>
          <w:szCs w:val="33"/>
        </w:rPr>
        <w:t>Wistar</w:t>
      </w:r>
      <w:proofErr w:type="spellEnd"/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 rats showed 4.29-fold enhancements in bioavailability. Stability study showed adequate results for various parameters checked up to six months. These results reveal the potential of </w:t>
      </w:r>
      <w:proofErr w:type="spellStart"/>
      <w:r w:rsidRPr="0053579C">
        <w:rPr>
          <w:rFonts w:ascii="Arial" w:eastAsia="Times New Roman" w:hAnsi="Arial" w:cs="Arial"/>
          <w:color w:val="333333"/>
          <w:sz w:val="33"/>
          <w:szCs w:val="33"/>
        </w:rPr>
        <w:t>microemulsion</w:t>
      </w:r>
      <w:proofErr w:type="spellEnd"/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 for significant improvement in oral bioavailability of poorly soluble </w:t>
      </w:r>
      <w:proofErr w:type="spellStart"/>
      <w:r w:rsidRPr="0053579C">
        <w:rPr>
          <w:rFonts w:ascii="Arial" w:eastAsia="Times New Roman" w:hAnsi="Arial" w:cs="Arial"/>
          <w:color w:val="333333"/>
          <w:sz w:val="33"/>
          <w:szCs w:val="33"/>
        </w:rPr>
        <w:t>raloxifene</w:t>
      </w:r>
      <w:proofErr w:type="spellEnd"/>
      <w:r w:rsidRPr="0053579C">
        <w:rPr>
          <w:rFonts w:ascii="Arial" w:eastAsia="Times New Roman" w:hAnsi="Arial" w:cs="Arial"/>
          <w:color w:val="333333"/>
          <w:sz w:val="33"/>
          <w:szCs w:val="33"/>
        </w:rPr>
        <w:t xml:space="preserve"> hydrochloride.</w:t>
      </w:r>
    </w:p>
    <w:p w:rsidR="0053579C" w:rsidRPr="0053579C" w:rsidRDefault="0053579C" w:rsidP="0053579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3579C">
        <w:rPr>
          <w:rFonts w:ascii="Arial" w:eastAsia="Times New Roman" w:hAnsi="Arial" w:cs="Arial"/>
          <w:color w:val="333333"/>
          <w:sz w:val="20"/>
          <w:szCs w:val="20"/>
        </w:rPr>
        <w:t>Keywords: </w:t>
      </w:r>
      <w:hyperlink r:id="rId9" w:history="1">
        <w:r w:rsidRPr="0053579C">
          <w:rPr>
            <w:rFonts w:ascii="Arial" w:eastAsia="Times New Roman" w:hAnsi="Arial" w:cs="Arial"/>
            <w:color w:val="10147E"/>
            <w:sz w:val="20"/>
          </w:rPr>
          <w:t>BCS class-II</w:t>
        </w:r>
      </w:hyperlink>
      <w:r w:rsidRPr="0053579C">
        <w:rPr>
          <w:rFonts w:ascii="Arial" w:eastAsia="Times New Roman" w:hAnsi="Arial" w:cs="Arial"/>
          <w:color w:val="333333"/>
          <w:sz w:val="20"/>
        </w:rPr>
        <w:t>, </w:t>
      </w:r>
      <w:proofErr w:type="spellStart"/>
      <w:r w:rsidRPr="0053579C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53579C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"https://www.tandfonline.com/keyword/Nanocarriers" </w:instrText>
      </w:r>
      <w:r w:rsidRPr="0053579C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53579C">
        <w:rPr>
          <w:rFonts w:ascii="Arial" w:eastAsia="Times New Roman" w:hAnsi="Arial" w:cs="Arial"/>
          <w:color w:val="10147E"/>
          <w:sz w:val="20"/>
        </w:rPr>
        <w:t>nanocarriers</w:t>
      </w:r>
      <w:proofErr w:type="spellEnd"/>
      <w:r w:rsidRPr="0053579C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53579C">
        <w:rPr>
          <w:rFonts w:ascii="Arial" w:eastAsia="Times New Roman" w:hAnsi="Arial" w:cs="Arial"/>
          <w:color w:val="333333"/>
          <w:sz w:val="20"/>
        </w:rPr>
        <w:t>, </w:t>
      </w:r>
      <w:hyperlink r:id="rId10" w:history="1">
        <w:r w:rsidRPr="0053579C">
          <w:rPr>
            <w:rFonts w:ascii="Arial" w:eastAsia="Times New Roman" w:hAnsi="Arial" w:cs="Arial"/>
            <w:color w:val="10147E"/>
            <w:sz w:val="20"/>
          </w:rPr>
          <w:t>D-optimal mixture design</w:t>
        </w:r>
      </w:hyperlink>
      <w:r w:rsidRPr="0053579C">
        <w:rPr>
          <w:rFonts w:ascii="Arial" w:eastAsia="Times New Roman" w:hAnsi="Arial" w:cs="Arial"/>
          <w:color w:val="333333"/>
          <w:sz w:val="20"/>
        </w:rPr>
        <w:t>, </w:t>
      </w:r>
      <w:hyperlink r:id="rId11" w:history="1">
        <w:r w:rsidRPr="0053579C">
          <w:rPr>
            <w:rFonts w:ascii="Arial" w:eastAsia="Times New Roman" w:hAnsi="Arial" w:cs="Arial"/>
            <w:color w:val="10147E"/>
            <w:sz w:val="20"/>
          </w:rPr>
          <w:t>bioavailability enhancement</w:t>
        </w:r>
      </w:hyperlink>
      <w:r w:rsidRPr="0053579C">
        <w:rPr>
          <w:rFonts w:ascii="Arial" w:eastAsia="Times New Roman" w:hAnsi="Arial" w:cs="Arial"/>
          <w:color w:val="333333"/>
          <w:sz w:val="20"/>
        </w:rPr>
        <w:t>, </w:t>
      </w:r>
      <w:hyperlink r:id="rId12" w:history="1">
        <w:r w:rsidRPr="0053579C">
          <w:rPr>
            <w:rFonts w:ascii="Arial" w:eastAsia="Times New Roman" w:hAnsi="Arial" w:cs="Arial"/>
            <w:color w:val="10147E"/>
            <w:sz w:val="20"/>
          </w:rPr>
          <w:t>pharmacokinetic parameters</w:t>
        </w:r>
      </w:hyperlink>
    </w:p>
    <w:p w:rsidR="0053579C" w:rsidRDefault="0053579C" w:rsidP="0053579C"/>
    <w:p w:rsidR="0053579C" w:rsidRDefault="0053579C" w:rsidP="0053579C">
      <w:r>
        <w:t xml:space="preserve">Full text available at: </w:t>
      </w:r>
      <w:hyperlink r:id="rId13" w:history="1">
        <w:r>
          <w:rPr>
            <w:rStyle w:val="Hyperlink"/>
          </w:rPr>
          <w:t>https://www.tandfonline.com/doi/abs/10.1080/03639045.2017.1408643?journalCode=iddi20</w:t>
        </w:r>
      </w:hyperlink>
    </w:p>
    <w:p w:rsidR="0053579C" w:rsidRPr="0053579C" w:rsidRDefault="0053579C" w:rsidP="0053579C"/>
    <w:sectPr w:rsidR="0053579C" w:rsidRPr="00535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3579C"/>
    <w:rsid w:val="0053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5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7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lmarticle-title">
    <w:name w:val="nlm_article-title"/>
    <w:basedOn w:val="DefaultParagraphFont"/>
    <w:rsid w:val="0053579C"/>
  </w:style>
  <w:style w:type="character" w:customStyle="1" w:styleId="contribdegrees">
    <w:name w:val="contribdegrees"/>
    <w:basedOn w:val="DefaultParagraphFont"/>
    <w:rsid w:val="0053579C"/>
  </w:style>
  <w:style w:type="character" w:styleId="Hyperlink">
    <w:name w:val="Hyperlink"/>
    <w:basedOn w:val="DefaultParagraphFont"/>
    <w:uiPriority w:val="99"/>
    <w:semiHidden/>
    <w:unhideWhenUsed/>
    <w:rsid w:val="005357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a">
    <w:name w:val="comma"/>
    <w:basedOn w:val="DefaultParagraphFont"/>
    <w:rsid w:val="00535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4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0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5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5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author/Javia%2C+Ankur" TargetMode="External"/><Relationship Id="rId13" Type="http://schemas.openxmlformats.org/officeDocument/2006/relationships/hyperlink" Target="https://www.tandfonline.com/doi/abs/10.1080/03639045.2017.1408643?journalCode=iddi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ndfonline.com/author/Sailor%2C+Girish" TargetMode="External"/><Relationship Id="rId12" Type="http://schemas.openxmlformats.org/officeDocument/2006/relationships/hyperlink" Target="https://www.tandfonline.com/keyword/Pharmacokinetic+Paramet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dfonline.com/author/Balaraman%2C+R" TargetMode="External"/><Relationship Id="rId11" Type="http://schemas.openxmlformats.org/officeDocument/2006/relationships/hyperlink" Target="https://www.tandfonline.com/keyword/Bioavailability+Enhancement" TargetMode="External"/><Relationship Id="rId5" Type="http://schemas.openxmlformats.org/officeDocument/2006/relationships/hyperlink" Target="https://www.tandfonline.com/author/Seth%2C+Avinashkuma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andfonline.com/keyword/D-optimal+Mixture+Design" TargetMode="External"/><Relationship Id="rId4" Type="http://schemas.openxmlformats.org/officeDocument/2006/relationships/hyperlink" Target="https://www.tandfonline.com/author/Shah%2C+Nirmal" TargetMode="External"/><Relationship Id="rId9" Type="http://schemas.openxmlformats.org/officeDocument/2006/relationships/hyperlink" Target="https://www.tandfonline.com/keyword/BCS+Class-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2805</Characters>
  <Application>Microsoft Office Word</Application>
  <DocSecurity>0</DocSecurity>
  <Lines>23</Lines>
  <Paragraphs>6</Paragraphs>
  <ScaleCrop>false</ScaleCrop>
  <Company>by adguard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2019-07-19T06:56:00Z</dcterms:created>
  <dcterms:modified xsi:type="dcterms:W3CDTF">2019-07-19T07:01:00Z</dcterms:modified>
</cp:coreProperties>
</file>